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附件</w:t>
      </w:r>
      <w:r>
        <w:rPr>
          <w:rFonts w:ascii="仿宋_GB2312" w:hAnsi="黑体" w:eastAsia="仿宋_GB2312" w:cs="仿宋_GB2312"/>
          <w:b/>
          <w:bCs/>
          <w:kern w:val="0"/>
          <w:sz w:val="24"/>
          <w:szCs w:val="24"/>
        </w:rPr>
        <w:t>1</w:t>
      </w: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：</w:t>
      </w:r>
    </w:p>
    <w:p>
      <w:pPr>
        <w:widowControl/>
        <w:spacing w:line="400" w:lineRule="exact"/>
        <w:jc w:val="center"/>
        <w:outlineLvl w:val="1"/>
        <w:rPr>
          <w:rFonts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普通高等学校本科教学工作合格评估实施办法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为贯彻落实《国家中长期教育改革和发展规划纲要（</w:t>
      </w:r>
      <w:r>
        <w:rPr>
          <w:rFonts w:ascii="仿宋_GB2312" w:hAnsi="黑体" w:eastAsia="仿宋_GB2312" w:cs="仿宋_GB2312"/>
          <w:kern w:val="0"/>
          <w:sz w:val="24"/>
          <w:szCs w:val="24"/>
        </w:rPr>
        <w:t>2010-2020</w:t>
      </w: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年）》，不断提高本科教育教学质量，根据《教育部关于普通高等学校本科评估工作的意见》（教高〔</w:t>
      </w:r>
      <w:r>
        <w:rPr>
          <w:rFonts w:ascii="仿宋_GB2312" w:hAnsi="黑体" w:eastAsia="仿宋_GB2312" w:cs="仿宋_GB2312"/>
          <w:kern w:val="0"/>
          <w:sz w:val="24"/>
          <w:szCs w:val="24"/>
        </w:rPr>
        <w:t>2011</w:t>
      </w: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〕</w:t>
      </w:r>
      <w:r>
        <w:rPr>
          <w:rFonts w:ascii="仿宋_GB2312" w:hAnsi="黑体" w:eastAsia="仿宋_GB2312" w:cs="仿宋_GB2312"/>
          <w:kern w:val="0"/>
          <w:sz w:val="24"/>
          <w:szCs w:val="24"/>
        </w:rPr>
        <w:t>9</w:t>
      </w: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号），特制定本办法。</w:t>
      </w:r>
    </w:p>
    <w:p>
      <w:pPr>
        <w:widowControl/>
        <w:numPr>
          <w:ilvl w:val="0"/>
          <w:numId w:val="1"/>
        </w:numPr>
        <w:spacing w:line="400" w:lineRule="exact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评估对象与条件</w:t>
      </w:r>
    </w:p>
    <w:p>
      <w:pPr>
        <w:widowControl/>
        <w:spacing w:line="400" w:lineRule="exact"/>
        <w:ind w:firstLine="482" w:firstLineChars="200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r>
        <w:rPr>
          <w:rFonts w:ascii="仿宋_GB2312" w:hAnsi="黑体" w:eastAsia="仿宋_GB2312" w:cs="仿宋_GB2312"/>
          <w:b/>
          <w:bCs/>
          <w:kern w:val="0"/>
          <w:sz w:val="24"/>
          <w:szCs w:val="24"/>
        </w:rPr>
        <w:t>1.</w:t>
      </w: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评估对象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普通高等学校本科教学工作合格评估（以下简称合格评估）针对未参加过教学工作评估的各类新建普通本科学校（以下简称新建本科学校），包括经国家正式批准独立设置的民办普通本科学校。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r>
        <w:rPr>
          <w:rFonts w:ascii="仿宋_GB2312" w:hAnsi="黑体" w:eastAsia="仿宋_GB2312" w:cs="仿宋_GB2312"/>
          <w:b/>
          <w:bCs/>
          <w:kern w:val="0"/>
          <w:sz w:val="24"/>
          <w:szCs w:val="24"/>
        </w:rPr>
        <w:t>2.</w:t>
      </w: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评估条件</w:t>
      </w:r>
    </w:p>
    <w:p>
      <w:pPr>
        <w:widowControl/>
        <w:spacing w:line="400" w:lineRule="exact"/>
        <w:ind w:firstLine="480" w:firstLineChars="20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学校参加合格评估的条件为：有</w:t>
      </w:r>
      <w:r>
        <w:rPr>
          <w:rFonts w:ascii="仿宋_GB2312" w:hAnsi="黑体" w:eastAsia="仿宋_GB2312" w:cs="仿宋_GB2312"/>
          <w:kern w:val="0"/>
          <w:sz w:val="24"/>
          <w:szCs w:val="24"/>
        </w:rPr>
        <w:t>3</w:t>
      </w: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届以本校名义招生的普通本科毕业生；当年没有被限制招生或暂停招生；公办学校上一年生均预算内教育事业费拨款须达到《财政部关于进一步提高地方普通本科高校生均拨款水平的意见》（财教〔</w:t>
      </w:r>
      <w:r>
        <w:rPr>
          <w:rFonts w:ascii="仿宋_GB2312" w:hAnsi="黑体" w:eastAsia="仿宋_GB2312" w:cs="仿宋_GB2312"/>
          <w:kern w:val="0"/>
          <w:sz w:val="24"/>
          <w:szCs w:val="24"/>
        </w:rPr>
        <w:t>2010</w:t>
      </w: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〕</w:t>
      </w:r>
      <w:r>
        <w:rPr>
          <w:rFonts w:ascii="仿宋_GB2312" w:hAnsi="黑体" w:eastAsia="仿宋_GB2312" w:cs="仿宋_GB2312"/>
          <w:kern w:val="0"/>
          <w:sz w:val="24"/>
          <w:szCs w:val="24"/>
        </w:rPr>
        <w:t>567</w:t>
      </w: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号）规定的相应标准。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已有</w:t>
      </w:r>
      <w:r>
        <w:rPr>
          <w:rFonts w:ascii="仿宋_GB2312" w:hAnsi="黑体" w:eastAsia="仿宋_GB2312" w:cs="仿宋_GB2312"/>
          <w:kern w:val="0"/>
          <w:sz w:val="24"/>
          <w:szCs w:val="24"/>
        </w:rPr>
        <w:t>5</w:t>
      </w: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届本科毕业生的新建本科学校应参加教学工作合格评估。凡因未达到评估条件而推迟评估的学校，在学校推迟评估期间，教育部将采取暂停备案新设本科专业、减少招生人数等限制措施。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二、评估组织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ascii="仿宋_GB2312" w:hAnsi="黑体" w:eastAsia="仿宋_GB2312" w:cs="仿宋_GB2312"/>
          <w:kern w:val="0"/>
          <w:sz w:val="24"/>
          <w:szCs w:val="24"/>
        </w:rPr>
        <w:t>3.</w:t>
      </w: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教育部统筹合格评估工作，制订合格评估工作总体方案和规划，组建教育部普通高等学校本科教学工作评估专家委员会（以下简称专家委员会）。专家委员会主要负责指导监督合格评估工作，审议进校考察专家组提交的评估报告，做出评估结论，受理争议、仲裁等事宜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ascii="仿宋_GB2312" w:hAnsi="黑体" w:eastAsia="仿宋_GB2312" w:cs="仿宋_GB2312"/>
          <w:kern w:val="0"/>
          <w:sz w:val="24"/>
          <w:szCs w:val="24"/>
        </w:rPr>
        <w:t>4.</w:t>
      </w: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地方教育行政部门和部委教育主管部门统筹协调本地区、本部门所属高等学校合格评估工作，制订本地区、本部门新建本科学校合格评估计划，指导学校开展评建工作，检查学校整改工作的落实情况。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ascii="仿宋_GB2312" w:hAnsi="黑体" w:eastAsia="仿宋_GB2312" w:cs="仿宋_GB2312"/>
          <w:kern w:val="0"/>
          <w:sz w:val="24"/>
          <w:szCs w:val="24"/>
        </w:rPr>
        <w:t>5.</w:t>
      </w: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教育部高等教育教学评估中心（以下简称教育部评估中心）具体组织实施合格评估工作，包括组织评估培训、组建评估专家队伍、采集和分析教学基本状态数据、组织专家进校评估等，并向专家委员会提交进校专家组的考察评估报告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三、评估程序及任务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合格评估主要程序包括：学校自评、专家进校评估、结论审议与发布等环节。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r>
        <w:rPr>
          <w:rFonts w:ascii="仿宋_GB2312" w:hAnsi="黑体" w:eastAsia="仿宋_GB2312" w:cs="仿宋_GB2312"/>
          <w:b/>
          <w:bCs/>
          <w:kern w:val="0"/>
          <w:sz w:val="24"/>
          <w:szCs w:val="24"/>
        </w:rPr>
        <w:t>6</w:t>
      </w: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．学校自评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学校根据本办法及《普通高等学校本科教学工作合格评估指标体系》要求，有计划地开展自评活动，总结成绩、查找差距、分析成因、提出对策，加强教学基本条件建设、加强教学管理、建立并完善校内教学质量保障制度，促进教学质量的稳步提高。在自评的基础上形成《学校自评报告》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r>
        <w:rPr>
          <w:rFonts w:ascii="仿宋_GB2312" w:hAnsi="黑体" w:eastAsia="仿宋_GB2312" w:cs="仿宋_GB2312"/>
          <w:b/>
          <w:bCs/>
          <w:kern w:val="0"/>
          <w:sz w:val="24"/>
          <w:szCs w:val="24"/>
        </w:rPr>
        <w:t>7.</w:t>
      </w: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专家进校评估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教育部评估中心组建专家组赴学校进行现场考察评估。专家组在审核《学校自评报告》和《教学基本状态数据分析报告》基础上，通过深入访谈、现场听课、查阅材料、考察座谈等形式，对学校教学工作做出公正客观评价，形成《专家组评估报告》并给出评估结论建议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r>
        <w:rPr>
          <w:rFonts w:ascii="仿宋_GB2312" w:hAnsi="黑体" w:eastAsia="仿宋_GB2312" w:cs="仿宋_GB2312"/>
          <w:b/>
          <w:bCs/>
          <w:kern w:val="0"/>
          <w:sz w:val="24"/>
          <w:szCs w:val="24"/>
        </w:rPr>
        <w:t>8.</w:t>
      </w: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结论审议与发布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专家委员会审议《专家组评估报告》，作出评估结论。合格评估结论分为“通过”、“暂缓通过”和“不通过”三种。教育部评估中心根据专家委员会审议结果，正式发布评估结论。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r>
        <w:rPr>
          <w:rFonts w:ascii="仿宋_GB2312" w:hAnsi="黑体" w:eastAsia="仿宋_GB2312" w:cs="仿宋_GB2312"/>
          <w:b/>
          <w:bCs/>
          <w:kern w:val="0"/>
          <w:sz w:val="24"/>
          <w:szCs w:val="24"/>
        </w:rPr>
        <w:t>9.</w:t>
      </w: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结论使用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“通过”的学校，进入下一轮普通高等学校的审核评估。学校的整改情况将作为审核评估的重要内容。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“暂缓通过”的学校整改期为</w:t>
      </w:r>
      <w:r>
        <w:rPr>
          <w:rFonts w:ascii="仿宋_GB2312" w:hAnsi="黑体" w:eastAsia="仿宋_GB2312" w:cs="仿宋_GB2312"/>
          <w:kern w:val="0"/>
          <w:sz w:val="24"/>
          <w:szCs w:val="24"/>
        </w:rPr>
        <w:t>2</w:t>
      </w: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年，“不通过”的学校整改期为</w:t>
      </w:r>
      <w:r>
        <w:rPr>
          <w:rFonts w:ascii="仿宋_GB2312" w:hAnsi="黑体" w:eastAsia="仿宋_GB2312" w:cs="仿宋_GB2312"/>
          <w:kern w:val="0"/>
          <w:sz w:val="24"/>
          <w:szCs w:val="24"/>
        </w:rPr>
        <w:t>3</w:t>
      </w: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年。在整改期间，对结论为“暂缓通过”和“不通过”的学校，将采取限制或减少招生数量、暂停备案新设本科专业等限制措施。整改期满后由学校提出重新接受评估的申请。重新评估获得通过的学校，可进入下一轮普通高等学校的审核评估，仍未通过的学校，将认定为教育教学质量低下，依据有关法律给予相应处罚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四、评估纪律与监督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实施“阳光评估”，推进评估信息公开、鼓励社会参与、加强评估监督、严肃评估纪律，确保评估工作公开、公正和公平。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r>
        <w:rPr>
          <w:rFonts w:ascii="仿宋_GB2312" w:hAnsi="黑体" w:eastAsia="仿宋_GB2312" w:cs="仿宋_GB2312"/>
          <w:b/>
          <w:bCs/>
          <w:kern w:val="0"/>
          <w:sz w:val="24"/>
          <w:szCs w:val="24"/>
        </w:rPr>
        <w:t>10.</w:t>
      </w: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评估信息公开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合格评估相关的政策文件与实施办法、评估标准、评估程序和活动、评估专家名单、《学校自评报告》、教学基本状态有关数据、《专家组评估报告》以及评估结论等，均在适当范围内予以公开。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建立社会各界广泛参与评估的工作机制，聘请行业、企业的专家参与评估工作。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b/>
          <w:bCs/>
          <w:kern w:val="0"/>
          <w:sz w:val="24"/>
          <w:szCs w:val="24"/>
        </w:rPr>
      </w:pPr>
      <w:r>
        <w:rPr>
          <w:rFonts w:ascii="仿宋_GB2312" w:hAnsi="黑体" w:eastAsia="仿宋_GB2312" w:cs="仿宋_GB2312"/>
          <w:b/>
          <w:bCs/>
          <w:kern w:val="0"/>
          <w:sz w:val="24"/>
          <w:szCs w:val="24"/>
        </w:rPr>
        <w:t>11.</w:t>
      </w:r>
      <w:r>
        <w:rPr>
          <w:rFonts w:hint="eastAsia" w:ascii="仿宋_GB2312" w:hAnsi="黑体" w:eastAsia="仿宋_GB2312" w:cs="仿宋_GB2312"/>
          <w:b/>
          <w:bCs/>
          <w:kern w:val="0"/>
          <w:sz w:val="24"/>
          <w:szCs w:val="24"/>
        </w:rPr>
        <w:t>评估监督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合格评估工作广泛接受教师、学生和社会各界的监督。评估专家委员会受教育部委托，监督检查参评学校和评估专家以及评估组织机构工作的规范性、公正性，检查评估有关规定的执行情况。</w:t>
      </w:r>
    </w:p>
    <w:p>
      <w:pPr>
        <w:widowControl/>
        <w:spacing w:line="400" w:lineRule="exact"/>
        <w:ind w:firstLine="570"/>
        <w:outlineLvl w:val="1"/>
        <w:rPr>
          <w:rFonts w:ascii="仿宋_GB2312" w:hAnsi="黑体" w:eastAsia="仿宋_GB2312" w:cs="Times New Roman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kern w:val="0"/>
          <w:sz w:val="24"/>
          <w:szCs w:val="24"/>
        </w:rPr>
        <w:t>教育部设立举报电话和信箱，接受来自社会各方面的监督。对评估过程中发现的问题责令及时纠正，对违反相关规定的人员与行为进行深入调查，并视情节轻重对责任人进行追究，做出处理。</w:t>
      </w:r>
    </w:p>
    <w:p>
      <w:pPr>
        <w:rPr>
          <w:rFonts w:cs="Times New Roma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883755"/>
    <w:multiLevelType w:val="multilevel"/>
    <w:tmpl w:val="79883755"/>
    <w:lvl w:ilvl="0" w:tentative="0">
      <w:start w:val="1"/>
      <w:numFmt w:val="japaneseCounting"/>
      <w:lvlText w:val="%1、"/>
      <w:lvlJc w:val="left"/>
      <w:pPr>
        <w:tabs>
          <w:tab w:val="left" w:pos="1290"/>
        </w:tabs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11"/>
    <w:rsid w:val="001A2C3F"/>
    <w:rsid w:val="001A7EF6"/>
    <w:rsid w:val="001E70DD"/>
    <w:rsid w:val="00220A7B"/>
    <w:rsid w:val="002F37FF"/>
    <w:rsid w:val="002F4FB6"/>
    <w:rsid w:val="002F52E9"/>
    <w:rsid w:val="003B1276"/>
    <w:rsid w:val="004679FB"/>
    <w:rsid w:val="004D003B"/>
    <w:rsid w:val="00503648"/>
    <w:rsid w:val="00537855"/>
    <w:rsid w:val="00556B6A"/>
    <w:rsid w:val="00557A54"/>
    <w:rsid w:val="005D1F93"/>
    <w:rsid w:val="006776CC"/>
    <w:rsid w:val="006F345A"/>
    <w:rsid w:val="00742BDD"/>
    <w:rsid w:val="00814711"/>
    <w:rsid w:val="00846117"/>
    <w:rsid w:val="0086674B"/>
    <w:rsid w:val="009307D0"/>
    <w:rsid w:val="00944B19"/>
    <w:rsid w:val="009A092B"/>
    <w:rsid w:val="009B0BD1"/>
    <w:rsid w:val="009C6863"/>
    <w:rsid w:val="00AC418A"/>
    <w:rsid w:val="00B06358"/>
    <w:rsid w:val="00B345A2"/>
    <w:rsid w:val="00B642CB"/>
    <w:rsid w:val="00B774BC"/>
    <w:rsid w:val="00BD50A0"/>
    <w:rsid w:val="00C60FCE"/>
    <w:rsid w:val="00C8669D"/>
    <w:rsid w:val="00C96B0F"/>
    <w:rsid w:val="00CE3079"/>
    <w:rsid w:val="00CE68BD"/>
    <w:rsid w:val="00D2304F"/>
    <w:rsid w:val="00D42A4D"/>
    <w:rsid w:val="00D70142"/>
    <w:rsid w:val="00E153E9"/>
    <w:rsid w:val="00E540C6"/>
    <w:rsid w:val="00ED33C1"/>
    <w:rsid w:val="00EF507A"/>
    <w:rsid w:val="00F30CDC"/>
    <w:rsid w:val="00F5255D"/>
    <w:rsid w:val="00FC0A7C"/>
    <w:rsid w:val="00FF67AE"/>
    <w:rsid w:val="7A6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nhideWhenUsed="0" w:uiPriority="99" w:semiHidden="0" w:name="heading 3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99"/>
    <w:pPr>
      <w:keepNext/>
      <w:keepLines/>
      <w:spacing w:before="260" w:after="260" w:line="415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9"/>
    <w:uiPriority w:val="99"/>
    <w:rPr>
      <w:rFonts w:ascii="宋体" w:hAnsi="宋体" w:cs="宋体"/>
      <w:sz w:val="18"/>
      <w:szCs w:val="18"/>
    </w:rPr>
  </w:style>
  <w:style w:type="paragraph" w:styleId="7">
    <w:name w:val="Plain Text"/>
    <w:basedOn w:val="1"/>
    <w:link w:val="18"/>
    <w:uiPriority w:val="99"/>
    <w:rPr>
      <w:rFonts w:ascii="宋体" w:hAnsi="Courier New" w:cs="宋体"/>
      <w:kern w:val="0"/>
      <w:sz w:val="20"/>
      <w:szCs w:val="20"/>
    </w:rPr>
  </w:style>
  <w:style w:type="paragraph" w:styleId="8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uiPriority w:val="99"/>
  </w:style>
  <w:style w:type="character" w:customStyle="1" w:styleId="13">
    <w:name w:val="标题 3 Char"/>
    <w:basedOn w:val="11"/>
    <w:link w:val="4"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页眉 Char"/>
    <w:basedOn w:val="11"/>
    <w:link w:val="9"/>
    <w:locked/>
    <w:uiPriority w:val="99"/>
    <w:rPr>
      <w:sz w:val="18"/>
      <w:szCs w:val="18"/>
    </w:rPr>
  </w:style>
  <w:style w:type="character" w:customStyle="1" w:styleId="15">
    <w:name w:val="页脚 Char"/>
    <w:basedOn w:val="11"/>
    <w:link w:val="8"/>
    <w:locked/>
    <w:uiPriority w:val="99"/>
    <w:rPr>
      <w:sz w:val="18"/>
      <w:szCs w:val="18"/>
    </w:rPr>
  </w:style>
  <w:style w:type="character" w:customStyle="1" w:styleId="16">
    <w:name w:val="Plain Text Char"/>
    <w:qFormat/>
    <w:locked/>
    <w:uiPriority w:val="99"/>
    <w:rPr>
      <w:rFonts w:ascii="宋体" w:hAnsi="Courier New" w:eastAsia="宋体" w:cs="宋体"/>
    </w:rPr>
  </w:style>
  <w:style w:type="character" w:customStyle="1" w:styleId="17">
    <w:name w:val="Plain Text Char1"/>
    <w:basedOn w:val="11"/>
    <w:link w:val="7"/>
    <w:semiHidden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纯文本 Char"/>
    <w:basedOn w:val="11"/>
    <w:link w:val="7"/>
    <w:semiHidden/>
    <w:locked/>
    <w:uiPriority w:val="99"/>
    <w:rPr>
      <w:rFonts w:ascii="宋体" w:hAnsi="Courier New" w:eastAsia="宋体" w:cs="宋体"/>
      <w:sz w:val="21"/>
      <w:szCs w:val="21"/>
    </w:rPr>
  </w:style>
  <w:style w:type="character" w:customStyle="1" w:styleId="19">
    <w:name w:val="正文文本 Char"/>
    <w:basedOn w:val="11"/>
    <w:link w:val="6"/>
    <w:locked/>
    <w:uiPriority w:val="99"/>
    <w:rPr>
      <w:rFonts w:ascii="宋体" w:hAnsi="宋体" w:eastAsia="宋体" w:cs="宋体"/>
      <w:sz w:val="20"/>
      <w:szCs w:val="20"/>
    </w:rPr>
  </w:style>
  <w:style w:type="character" w:customStyle="1" w:styleId="20">
    <w:name w:val="标题 1 Char"/>
    <w:basedOn w:val="11"/>
    <w:link w:val="2"/>
    <w:uiPriority w:val="0"/>
    <w:rPr>
      <w:rFonts w:cs="Calibri"/>
      <w:b/>
      <w:bCs/>
      <w:kern w:val="44"/>
      <w:sz w:val="44"/>
      <w:szCs w:val="44"/>
    </w:rPr>
  </w:style>
  <w:style w:type="character" w:customStyle="1" w:styleId="21">
    <w:name w:val="标题 2 Char"/>
    <w:basedOn w:val="11"/>
    <w:link w:val="3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2">
    <w:name w:val="标题 4 Char"/>
    <w:basedOn w:val="11"/>
    <w:link w:val="5"/>
    <w:uiPriority w:val="0"/>
    <w:rPr>
      <w:rFonts w:ascii="Cambria" w:hAnsi="Cambria" w:eastAsia="宋体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1702</Words>
  <Characters>1730</Characters>
  <Lines>12</Lines>
  <Paragraphs>3</Paragraphs>
  <TotalTime>43</TotalTime>
  <ScaleCrop>false</ScaleCrop>
  <LinksUpToDate>false</LinksUpToDate>
  <CharactersWithSpaces>1730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2014-03-13T02:49:00Z</dcterms:created>
  <dc:creator>User</dc:creator>
  <cp:lastModifiedBy>邱</cp:lastModifiedBy>
  <cp:lastPrinted>2015-04-01T07:03:00Z</cp:lastPrinted>
  <dcterms:modified xsi:type="dcterms:W3CDTF">2023-03-24T07:17:48Z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E7B9E3BDED05410BB2A62BF6D81FFA77</vt:lpwstr>
  </property>
</Properties>
</file>