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 w:hAnsi="仿宋" w:eastAsia="仿宋"/>
          <w:sz w:val="32"/>
          <w:szCs w:val="32"/>
        </w:rPr>
      </w:pPr>
      <w:r>
        <w:rPr>
          <w:rFonts w:hint="eastAsia" w:ascii="仿宋" w:hAnsi="仿宋" w:eastAsia="仿宋"/>
          <w:sz w:val="32"/>
          <w:szCs w:val="32"/>
        </w:rPr>
        <w:t>附</w:t>
      </w:r>
      <w:r>
        <w:rPr>
          <w:rFonts w:ascii="仿宋" w:hAnsi="仿宋" w:eastAsia="仿宋"/>
          <w:sz w:val="32"/>
          <w:szCs w:val="32"/>
        </w:rPr>
        <w:t>1</w:t>
      </w:r>
    </w:p>
    <w:p>
      <w:pPr>
        <w:spacing w:line="48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教学改革研究项目指南</w:t>
      </w:r>
    </w:p>
    <w:p>
      <w:pPr>
        <w:adjustRightInd w:val="0"/>
        <w:snapToGrid w:val="0"/>
        <w:spacing w:line="480" w:lineRule="exact"/>
        <w:ind w:firstLine="552" w:firstLineChars="200"/>
        <w:rPr>
          <w:rFonts w:ascii="仿宋_GB2312"/>
          <w:sz w:val="28"/>
          <w:szCs w:val="28"/>
        </w:rPr>
      </w:pP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一、高等教育发展战略研究及综合研究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指导研究；高等学校办学定位与办学特色研究；高等学校创新产学研合作机制研究；高等学校科教融合机制研究；高等学校多学科交叉融合机制研究；产业学院发展探索与研究；高等教育优化学科专业结构、服务湖北地方经济发展研究；现代大学制度研究与探索及高校治理体系和治理能力现代化研究等；高校落实教学中心地位、提高人才培养能力，加快形成高水平人才培养体系的综合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二、课程思政建设研究与实践</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sz w:val="28"/>
          <w:szCs w:val="28"/>
        </w:rPr>
        <w:t>高校关于课程思政教学体系的建设与研究；高校在系统推进中国特色社会主义和中国梦教育、社会主义核心价值观教育、法治教育、劳动教育、心理健康教育、中华优秀传统文化教育的研究与实践；结合学科专业特点推进思政元素融入课程教学的改革和创新研究；课程思政融入课堂教学全过程的方法途径探索与实践；推进教师思政能力建设的机制研究；课程思政建设质量评价体系和激励机制的探索与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三、人才培养模式改革与创新研究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国际视野及国际化人才培养模式的研究与实践；“3+2”本科与高职联合培养模式研究；高校通识教育教学内容与体系建设研究、素质教育研究；基于学生自主学习能力培养和个性化教学的人才培养模式研究与实践等。重点支持各试点学院和试点单位在改革项目上的教学研究。</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四、新工科、新医科、新农科、新文科的理论与实践研究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新工科、新医科、新农科、新文科建设背景下教育的改革新理念、学科专业的新结构、人才培养的新模式、教育教学的新质量、分类培养的新体系等；高校关于新经济背景下面向未来产业发展需求，推动现有工、医、农、文科的交叉复合、与其他学科的交叉融合的探索与实践研究；面向新经济和区域经济发展需要、面向未来的新兴工、医、农、文科专业研究与探索及传统专业更新、迭代和升级研究；多学科交叉复合的新兴工、医、农、文科专业建设；多学科交叉融合的工程人才培养模式探索与实践；新工科、新医科、新农科、新文科建设进展、实施情况和实践案例研究等；新工科、新医科、新农科、新文科专业认证研究与实践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五、专业与课程体系建设和改革</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系列课程、教材建设研究。包括创新课程体系建设研究、素质教育课程体系及相关教材建设与研究、一流本科课程建设与应用的理论研究与实践、区域高校课程联盟运作体系研究与实践、高校双语课程建设及双语教学改革的研究；研究国内外优质课程教学资源共享研究；高校课程的准入、建设、评价与淘汰机制研究；产学合作新课程的开发和新教材建设，立体化教材建设等；“马工程”重点教材的应用与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六、教师队伍建设与教师教学能力提升</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七、教学内容更新与教学方法改革</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八、实践教学改革与大学生创新能力培养</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九、教育教学制度改革研究与实践</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完善学分制，扩大学生学习自主权、选择权，建立健全本科生学业导师制度，建立完善与学分制改革和弹性学习相适应的管理制度，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跨校联合人</w:t>
      </w:r>
      <w:bookmarkStart w:id="0" w:name="_GoBack"/>
      <w:bookmarkEnd w:id="0"/>
      <w:r>
        <w:rPr>
          <w:rFonts w:hint="eastAsia" w:ascii="仿宋" w:hAnsi="仿宋" w:eastAsia="仿宋"/>
          <w:sz w:val="28"/>
          <w:szCs w:val="28"/>
        </w:rPr>
        <w:t>才培养、区域教学联合体、省部高校共建及对口支持协作等建设与研究；高校间优质教学资源的建设与共享机制研究。</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十、高校教学质量管理及保障、监控机制和体系研究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本科专业类教学质量国家标准实施研究与实践；加强学风建设，提升学业挑战度，强化人才培养方案、教学过程和教学考核等方面的质量要求，引导激励学生刻苦学习，完善学业考评制度等方面的研究与实践；高校严格课堂教学管理与课堂改革方面的研究与实践；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十一、高等教育信息化研究。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信息技术与教育教学的深度融合如微课、在线开放课程建设、翻转课堂等方面研究；教学管理数字化、信息化建设研究与实践；教学资源平台建设与管理、现代信息网络技术在教学中的运用、现代远程高等教育教学体系的构建及管理研究。</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十二、研究生教育教学改革</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研究生教育质量保证体系建设规范、监督体系研究；学风建设与学术规范教育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三</w:t>
      </w:r>
      <w:r>
        <w:rPr>
          <w:rFonts w:hint="eastAsia" w:ascii="仿宋" w:hAnsi="仿宋" w:eastAsia="仿宋"/>
          <w:b/>
          <w:sz w:val="28"/>
          <w:szCs w:val="28"/>
        </w:rPr>
        <w:t>、办学机制、教学管理模式研究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民办高等学校、独立学院的体制和运行机制的研究与实践、教师队伍建设研究与实践、办学模式的研究与实践等。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、其他</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成人高等教育、网络远程教育、自学考试等学历继续教育人才培养目标定位、培养模式、质量保障体制机制研究。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高等教育国际合作办学机制和培养模式的理论与实践研究。</w:t>
      </w:r>
    </w:p>
    <w:p>
      <w:pPr>
        <w:widowControl/>
        <w:jc w:val="left"/>
        <w:rPr>
          <w:rFonts w:ascii="黑体" w:hAnsi="黑体" w:eastAsia="黑体"/>
          <w:sz w:val="28"/>
          <w:szCs w:val="28"/>
        </w:rPr>
      </w:pPr>
      <w:r>
        <w:rPr>
          <w:rFonts w:ascii="黑体" w:hAnsi="黑体" w:eastAsia="黑体"/>
          <w:sz w:val="28"/>
          <w:szCs w:val="28"/>
        </w:rPr>
        <w:br w:type="page"/>
      </w:r>
    </w:p>
    <w:p>
      <w:pPr>
        <w:spacing w:line="500" w:lineRule="exact"/>
        <w:jc w:val="center"/>
        <w:rPr>
          <w:rFonts w:ascii="黑体" w:hAnsi="黑体" w:eastAsia="黑体"/>
          <w:sz w:val="28"/>
          <w:szCs w:val="28"/>
        </w:rPr>
      </w:pPr>
    </w:p>
    <w:p>
      <w:pPr>
        <w:spacing w:line="500" w:lineRule="exact"/>
        <w:jc w:val="center"/>
        <w:rPr>
          <w:rFonts w:ascii="黑体" w:hAnsi="黑体" w:eastAsia="黑体"/>
          <w:sz w:val="32"/>
          <w:szCs w:val="32"/>
        </w:rPr>
      </w:pPr>
      <w:r>
        <w:rPr>
          <w:rFonts w:hint="eastAsia" w:ascii="黑体" w:hAnsi="黑体" w:eastAsia="黑体"/>
          <w:sz w:val="32"/>
          <w:szCs w:val="32"/>
        </w:rPr>
        <w:t>体育类教学改革研究项目指南</w:t>
      </w:r>
    </w:p>
    <w:p>
      <w:pPr>
        <w:spacing w:line="480" w:lineRule="exact"/>
        <w:jc w:val="center"/>
        <w:rPr>
          <w:rFonts w:ascii="黑体" w:hAnsi="黑体" w:eastAsia="黑体"/>
          <w:sz w:val="28"/>
          <w:szCs w:val="28"/>
        </w:rPr>
      </w:pP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一、学校体育基础理论研究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1、中国学校体育发展历史与经验总结</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2、学校体育治理体系与治理能力现代化</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3、新时代中国特色学校体育理念目标与建设路径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4、学校体育与健康中国、体育强国建设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5、学校体育与体育产业、人力资源强国建设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6、学校体育与教育强国、文化强国建设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7、学校体育区域一体化发展</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8、学校体育与家庭体育、社区体育一体化研究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9、学校体育学科发展理论研究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10、校园体育文化建设研究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11、奥林匹克文化、运动项目礼仪与人文素养培育</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12、学校卫生与健康教育改革研究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13、学校健康教育运行机制研究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14、基于大数据的师生健康素养与健康管理研究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15、学校体育贯彻“立德树人”的理论与实践探索</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二、体育专业建设与人才培养模式创新研究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16、体育专业历史发展与经验总结</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17、体育学一流专业建设研究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18、体育类专业设置、调整、优化、管理与评价研究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19、体育类特色专业建设研究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20、体育核心素养与体育人才培养模式创新研究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21、新时代体教融合模式研究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22、中国特色学校体育青训体系、竞赛体系、后备人才培养体系研究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23、体育类不同类型研究生人才培养模式创新研究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24、信息化与学校体育人才培养模式改革研究</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三、体育课程与教学研究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25、信息技术与体育课程教学深度融合研究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26、体育课程价值取向研究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27、体育课程思政的理论与实践探索</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28、体育教学质量评价标准研究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29、学校体育精品教材建设与应用研究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30、体育课程资源开发的理论与实践应用研究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31、体育实践教学资源整合与优化配置的研究与实践</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32、线上体育课程的设计、实施与管理研究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33、新型体育实践教学方法与手段的探索研究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34、健康教育类课程与教材体系研究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35、不同学段健康教育衔接及课程体系整体设计</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36、体育教学效果的评价研究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37、体育教学团队综合能力提升研究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38、体育实验教学示范中心建设研究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39、民族传统体育项目教学推广研究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40、传统优势竞技运动项目在学校中的可持续发展研究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41、校园足球的改革与发展研究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42、学校群众性体育活动开展的形式、方法、内容研究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43、学校体育社团、大课间活动、传统项目发展与校园文化活力创新</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四、体育运动与健康促进</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44、学生体质健康促进政策优化、跨部门协同治理机制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45、学生体质健康发展的提出问题、影响因素及解决方案</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46、学生体质健康测评工作的信息化平台建设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47、学生体质健康动态监测与应对策略研究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48、学生体质健康与久坐行为研究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49、学生体质健康测试数据深度分析和有效利用</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50、体能训练与学生体质健康促进</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51、《国家学生体质健康标准》实施效果与问题研究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52、体能薄弱群体、特殊群体学生的体质健康精准分析及干预；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53、幼儿体育活动能力发展的理论与实践</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54、学生科学健身的理论与方法研究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55、学生体育价值观与健康行为研究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56、体育运动促进学生良好品德、意志品质形成</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57、体育培养学生健全人格的实践研究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58、运动竞赛与学生社会适应能力的培养研究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59、体医结合视角下学生健康服务模式构建及应用</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60、学校体育运动伤害防护研究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61、学生溺水高危行为的干预研究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62、“学校-家庭-社会”学生防溺水健康教育研究</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五、体育教师队伍建设研究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63、新时代体育与健康师资队伍建设现状与改革创新</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64、体育与健康教师师德与职业素养、能力发展</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65、体育与健康教师科研、名师工作室建设与教师成长</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66、体育与健康教师待遇、职称、荣誉等权益与劳动保障</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67、体育与健康教师工作量测算与业绩考评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68、湖北省农村地区体育与健康师资队伍建设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69、中小学体育与健康教研体系建设与工作机制创新</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70、优秀退役运动员任职体育与健康教师的资格与路径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71、教师体质健康状况调研与干预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72、体育教师教学能力评价与提升策略研究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73、体育教师落实“立德树人”根本任务的评价体系</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74、体育教师健康教育能力提升研究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75、体育教师职后培训体系研究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76、体育教师职业理想教育研究</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六、学校体育管理、评价与制度建设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77、学校体育政策法规及其执行、评估研究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78、体育考试（中考、高考）制度创新</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79、学校体育运动伤害的责任认定与社会救助机制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80、学校体育智慧系统理论与实践</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81、体育专业人才评价标准与评价方法研究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82、体育教学状态和教学质量监测的常态化与信息化研究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83、体育教学管理体制与运行机制研究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84、学生运动员注册、参赛制度创新</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85、学生运动员成长与升学制度设计</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86、学生身体活动锻炼校内外一体化保障机制研究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87、学校高水平运动队建设与中小学体育竞赛的衔接；</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88、校内竞赛、校际联赛、选拔性竞赛一体化的大中小学体育竞赛体系研究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89、校内外体育实训基地建设、管理与运行机制研究</w:t>
      </w:r>
    </w:p>
    <w:p>
      <w:pPr>
        <w:spacing w:line="480" w:lineRule="exact"/>
        <w:ind w:firstLine="552" w:firstLineChars="200"/>
        <w:rPr>
          <w:rFonts w:ascii="仿宋_GB2312" w:hAnsi="宋体"/>
          <w:kern w:val="0"/>
          <w:szCs w:val="32"/>
        </w:rPr>
        <w:sectPr>
          <w:footerReference r:id="rId3" w:type="default"/>
          <w:pgSz w:w="11906" w:h="16838"/>
          <w:pgMar w:top="1928" w:right="1588" w:bottom="1531" w:left="1588" w:header="851" w:footer="1247" w:gutter="0"/>
          <w:cols w:space="425" w:num="1"/>
          <w:titlePg/>
          <w:docGrid w:type="linesAndChars" w:linePitch="608" w:charSpace="-849"/>
        </w:sectPr>
      </w:pPr>
      <w:r>
        <w:rPr>
          <w:rFonts w:hint="eastAsia" w:ascii="仿宋" w:hAnsi="仿宋" w:eastAsia="仿宋"/>
          <w:sz w:val="28"/>
          <w:szCs w:val="28"/>
        </w:rPr>
        <w:t>90、高校体育产学研结合机制创新研究</w:t>
      </w:r>
    </w:p>
    <w:p>
      <w:pPr>
        <w:spacing w:line="500" w:lineRule="exact"/>
        <w:rPr>
          <w:rFonts w:ascii="宋体" w:hAnsi="宋体" w:eastAsia="宋体"/>
          <w:szCs w:val="21"/>
        </w:rPr>
      </w:pPr>
    </w:p>
    <w:sectPr>
      <w:pgSz w:w="11906" w:h="16838"/>
      <w:pgMar w:top="1928" w:right="1588" w:bottom="1531" w:left="1588" w:header="851" w:footer="1247" w:gutter="0"/>
      <w:cols w:space="425"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22</w:t>
    </w:r>
    <w:r>
      <w:rPr>
        <w:rFonts w:hint="eastAsia" w:ascii="仿宋_GB2312"/>
        <w:sz w:val="30"/>
        <w:szCs w:val="30"/>
      </w:rPr>
      <w:fldChar w:fldCharType="end"/>
    </w:r>
    <w:r>
      <w:rPr>
        <w:rStyle w:val="9"/>
        <w:rFonts w:hint="eastAsia" w:ascii="仿宋_GB2312"/>
        <w:sz w:val="30"/>
        <w:szCs w:val="30"/>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276DC"/>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B48DD"/>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0E3F"/>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D485D"/>
    <w:rsid w:val="00FF1627"/>
    <w:rsid w:val="00FF458A"/>
    <w:rsid w:val="00FF77B0"/>
    <w:rsid w:val="09EA4026"/>
    <w:rsid w:val="2BA65E57"/>
    <w:rsid w:val="45255B2C"/>
    <w:rsid w:val="5A7D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rPr>
      <w:rFonts w:ascii="Times New Roman" w:hAnsi="Times New Roman" w:eastAsia="仿宋_GB2312" w:cs="Times New Roman"/>
      <w:sz w:val="32"/>
      <w:szCs w:val="20"/>
    </w:rPr>
  </w:style>
  <w:style w:type="table" w:customStyle="1" w:styleId="16">
    <w:name w:val="网格型1"/>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19FB-978E-43DD-AB07-7546EAAA0221}">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23</Pages>
  <Words>1622</Words>
  <Characters>9247</Characters>
  <Lines>77</Lines>
  <Paragraphs>21</Paragraphs>
  <TotalTime>9</TotalTime>
  <ScaleCrop>false</ScaleCrop>
  <LinksUpToDate>false</LinksUpToDate>
  <CharactersWithSpaces>10848</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2021-03-19T07:41:00Z</dcterms:created>
  <dc:creator>lenovo</dc:creator>
  <cp:lastModifiedBy>琉璃</cp:lastModifiedBy>
  <cp:lastPrinted>2021-02-24T10:18:00Z</cp:lastPrinted>
  <dcterms:modified xsi:type="dcterms:W3CDTF">2022-03-07T03:03:26Z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DB697F5014714387A9B2DA8005B2BF71</vt:lpwstr>
  </property>
</Properties>
</file>