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B0CC5">
      <w:pPr>
        <w:numPr>
          <w:ilvl w:val="0"/>
          <w:numId w:val="0"/>
        </w:numPr>
        <w:jc w:val="center"/>
        <w:rPr>
          <w:rFonts w:hint="default"/>
          <w:sz w:val="22"/>
          <w:szCs w:val="28"/>
          <w:lang w:val="en-US" w:eastAsia="zh-CN"/>
        </w:rPr>
      </w:pPr>
      <w:r>
        <w:rPr>
          <w:rFonts w:hint="eastAsia"/>
          <w:sz w:val="32"/>
          <w:szCs w:val="40"/>
          <w:lang w:val="en-US" w:eastAsia="zh-CN"/>
        </w:rPr>
        <w:t>所属高校实验（实训室）室设备需求清单的填写说明</w:t>
      </w:r>
    </w:p>
    <w:p w14:paraId="5379338B">
      <w:pPr>
        <w:numPr>
          <w:ilvl w:val="0"/>
          <w:numId w:val="0"/>
        </w:numPr>
        <w:jc w:val="center"/>
        <w:rPr>
          <w:rFonts w:hint="default"/>
          <w:sz w:val="22"/>
          <w:szCs w:val="28"/>
          <w:lang w:val="en-US" w:eastAsia="zh-CN"/>
        </w:rPr>
      </w:pPr>
    </w:p>
    <w:p w14:paraId="5884C133">
      <w:pPr>
        <w:numPr>
          <w:ilvl w:val="0"/>
          <w:numId w:val="1"/>
        </w:numPr>
        <w:rPr>
          <w:rFonts w:hint="eastAsia"/>
          <w:sz w:val="24"/>
          <w:szCs w:val="24"/>
          <w:lang w:val="en-US" w:eastAsia="zh-CN"/>
        </w:rPr>
      </w:pPr>
      <w:r>
        <w:rPr>
          <w:rFonts w:hint="eastAsia"/>
          <w:sz w:val="24"/>
          <w:szCs w:val="24"/>
          <w:lang w:val="en-US" w:eastAsia="zh-CN"/>
        </w:rPr>
        <w:t>实训室专业设备和软件的参数要详细描述主要功能或者主要教学课程，专业设备尽量提供参考图片，参数中不能有唯一指向性的描述，如必须取得某某证书认证或其他没有实际功能的参数。</w:t>
      </w:r>
    </w:p>
    <w:p w14:paraId="48F6D2BD">
      <w:pPr>
        <w:numPr>
          <w:ilvl w:val="0"/>
          <w:numId w:val="1"/>
        </w:numPr>
        <w:rPr>
          <w:rFonts w:hint="eastAsia"/>
          <w:sz w:val="24"/>
          <w:szCs w:val="24"/>
          <w:lang w:val="en-US" w:eastAsia="zh-CN"/>
        </w:rPr>
      </w:pPr>
      <w:r>
        <w:rPr>
          <w:rFonts w:hint="eastAsia"/>
          <w:sz w:val="24"/>
          <w:szCs w:val="24"/>
          <w:lang w:val="en-US" w:eastAsia="zh-CN"/>
        </w:rPr>
        <w:t>家具等通用设备必须提供尺寸和材质要求，特殊造型家具要提供参考图片。</w:t>
      </w:r>
    </w:p>
    <w:p w14:paraId="6F7A6E81">
      <w:pPr>
        <w:numPr>
          <w:ilvl w:val="0"/>
          <w:numId w:val="1"/>
        </w:numPr>
        <w:rPr>
          <w:rFonts w:hint="eastAsia"/>
          <w:sz w:val="24"/>
          <w:szCs w:val="24"/>
          <w:lang w:val="en-US" w:eastAsia="zh-CN"/>
        </w:rPr>
      </w:pPr>
      <w:r>
        <w:rPr>
          <w:rFonts w:hint="eastAsia"/>
          <w:sz w:val="24"/>
          <w:szCs w:val="24"/>
          <w:lang w:val="en-US" w:eastAsia="zh-CN"/>
        </w:rPr>
        <w:t>电脑、多媒体和网络设备要结合实际需求填写，可参考以往同类实训室设备参数，常规产品可以不附图片。</w:t>
      </w:r>
    </w:p>
    <w:p w14:paraId="2E96DAC2">
      <w:pPr>
        <w:numPr>
          <w:ilvl w:val="0"/>
          <w:numId w:val="1"/>
        </w:numPr>
        <w:rPr>
          <w:rFonts w:hint="default"/>
          <w:sz w:val="24"/>
          <w:szCs w:val="24"/>
          <w:lang w:val="en-US" w:eastAsia="zh-CN"/>
        </w:rPr>
      </w:pPr>
      <w:r>
        <w:rPr>
          <w:rFonts w:hint="eastAsia"/>
          <w:sz w:val="24"/>
          <w:szCs w:val="24"/>
          <w:lang w:val="en-US" w:eastAsia="zh-CN"/>
        </w:rPr>
        <w:t>必须提供实训室设备平面布置图。</w:t>
      </w:r>
    </w:p>
    <w:p w14:paraId="30E56FA9">
      <w:pPr>
        <w:numPr>
          <w:ilvl w:val="0"/>
          <w:numId w:val="1"/>
        </w:numPr>
        <w:rPr>
          <w:rFonts w:hint="default"/>
          <w:sz w:val="24"/>
          <w:szCs w:val="24"/>
          <w:lang w:val="en-US" w:eastAsia="zh-CN"/>
        </w:rPr>
      </w:pPr>
      <w:r>
        <w:rPr>
          <w:rFonts w:hint="eastAsia"/>
          <w:sz w:val="24"/>
          <w:szCs w:val="24"/>
          <w:lang w:val="en-US" w:eastAsia="zh-CN"/>
        </w:rPr>
        <w:t>清单中要有空调、装修等项目预算。</w:t>
      </w:r>
    </w:p>
    <w:p w14:paraId="6AE18F13">
      <w:pPr>
        <w:numPr>
          <w:ilvl w:val="0"/>
          <w:numId w:val="1"/>
        </w:numPr>
        <w:rPr>
          <w:rFonts w:hint="default"/>
          <w:lang w:val="en-US" w:eastAsia="zh-CN"/>
        </w:rPr>
      </w:pPr>
      <w:r>
        <w:rPr>
          <w:rFonts w:hint="eastAsia"/>
          <w:sz w:val="24"/>
          <w:szCs w:val="24"/>
          <w:lang w:val="en-US" w:eastAsia="zh-CN"/>
        </w:rPr>
        <w:t>实验室设备需求清单确认无误后，需要学校实验室负责人和学校实验室分管校领导签字，然后移交公司经济部。</w:t>
      </w:r>
    </w:p>
    <w:p w14:paraId="0848DEC3">
      <w:pPr>
        <w:numPr>
          <w:ilvl w:val="0"/>
          <w:numId w:val="0"/>
        </w:numPr>
        <w:rPr>
          <w:rFonts w:hint="eastAsia"/>
          <w:lang w:val="en-US" w:eastAsia="zh-CN"/>
        </w:rPr>
      </w:pPr>
      <w:bookmarkStart w:id="0" w:name="_GoBack"/>
      <w:bookmarkEnd w:id="0"/>
    </w:p>
    <w:p w14:paraId="2B8CEA5D">
      <w:pPr>
        <w:numPr>
          <w:ilvl w:val="0"/>
          <w:numId w:val="0"/>
        </w:numPr>
        <w:rPr>
          <w:rFonts w:hint="eastAsia"/>
          <w:sz w:val="28"/>
          <w:szCs w:val="28"/>
          <w:lang w:val="en-US" w:eastAsia="zh-CN"/>
        </w:rPr>
      </w:pPr>
      <w:r>
        <w:rPr>
          <w:rFonts w:hint="eastAsia"/>
          <w:sz w:val="28"/>
          <w:szCs w:val="36"/>
          <w:lang w:val="en-US" w:eastAsia="zh-CN"/>
        </w:rPr>
        <w:t>一、软件填写范例：</w:t>
      </w:r>
    </w:p>
    <w:tbl>
      <w:tblPr>
        <w:tblStyle w:val="2"/>
        <w:tblW w:w="10350" w:type="dxa"/>
        <w:tblInd w:w="-5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7"/>
        <w:gridCol w:w="8713"/>
      </w:tblGrid>
      <w:tr w14:paraId="5FCE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1" w:hRule="atLeast"/>
        </w:trPr>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0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大数据AI赋能教学平台</w:t>
            </w:r>
          </w:p>
        </w:tc>
        <w:tc>
          <w:tcPr>
            <w:tcW w:w="8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E7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一、AIGC赋能教学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平台深度融合AIGC技术，为教学全方位赋能。支持基于大模型的自主问答、实验指导、代码生成与纠错、教学资源快速生成等功能。教师可通过内置提示词或自定义指令，一键生成课程大纲、教案、教学计划、实验手册等丰富教学资源。平台还具备智能出题、评分标准生成以及论文全周期辅助等实用功能，助力教师高效完成繁杂的教学任务，将更多精力投入到教学质量提升中。同时，AIGC技术为学生提供即时指导，在实验过程中遇到问题时，学生可迅速获取精准帮助，显著提高学习效果和知识掌握速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二、教学实训功能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平台打造全面且灵活的实验实训环境，支持容器、虚机、Jupyter三种运行环境，充分满足不同实验场景的需求。实验手册支持上传或自动生成，教师可依据学生学习进度动态调整内容，平台还贴心提供个性化实验推荐功能，帮助学生精准匹配适合的实验项目，提升学习针对性。此外，平台支持实验环境的快速创建与高效管理，实验操作支持删除、保存、临时关闭等功能，确保实训过程顺畅无阻，提高教学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三、课程与资源管理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平台配备强大的课程资源管理功能，既涵盖丰富的内置课程，也支持教师自主创建课程。课程资源可按“基础课程”“案例课程”“实训课程”“认证课程”等维度清晰分类，方便教师和学生快速定位所需内容。教师可灵活设置课程发布位置，可选择仅在教师端展示、仅对学生端开放或两者同时发布，并能详细配置应用名称、描述、类型及实验环境等关键信息。此外，平台支持Word、PDF、PPT、Excel等多种格式的教辅材料上传、预览、共享及管理，全方位满足教学过程中的多样化资源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四、考试与评估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平台内置完善且智能的在线考试系统，支持单选题、多选题、判断题、编程题等多种题型，满足不同学科和课程的考核要求。借助智能出题与指令集辅助生成题目功能，教师可快速创建高质量试题，大大节省出题时间。考试题支持配置容器、虚机、Jupyter等运行环境，轻松应对复杂题型的考核需求。平台还能对考试数据进行全面分析，快速完成成绩统计与导出，助力教师精准掌握学生学习情况，为教学决策提供有力依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五、知识管理与共享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平台内置高效的知识仓库，支持教辅材料的便捷上传、规范管理与广泛共享。教师可自由上传多种格式的资料，并为知识库设置清晰的名称与详细描述，方便学生查找和使用。管理员具备全局管理权限，可对知识库进行整体把控。平台还支持资料的搜索、预览、删除及共享功能，有效促进教学资源的高效流通与复用，营造良好的学习资源共享氛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六、系统管理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平台拥有强大的系统管理功能，全面覆盖用户管理、角色管理、组织管理、模块管理等关键方面。支持对用户信息进行编辑、重置密码、禁用与删除等精细化操作，满足不同用户权限需求。同时支持角色的授权与精准配置，确保教学秩序。平台还具备镜像管理、资源监控、操作日志管理等功能，全方位保障系统稳定、安全地运行，为教学活动的顺利开展提供坚实的技术支撑。</w:t>
            </w:r>
          </w:p>
        </w:tc>
      </w:tr>
    </w:tbl>
    <w:p w14:paraId="041F2A61">
      <w:pPr>
        <w:numPr>
          <w:ilvl w:val="0"/>
          <w:numId w:val="0"/>
        </w:numPr>
        <w:rPr>
          <w:rFonts w:hint="eastAsia"/>
          <w:lang w:val="en-US" w:eastAsia="zh-CN"/>
        </w:rPr>
      </w:pPr>
    </w:p>
    <w:p w14:paraId="07013B9B">
      <w:pPr>
        <w:numPr>
          <w:ilvl w:val="0"/>
          <w:numId w:val="0"/>
        </w:numPr>
        <w:rPr>
          <w:rFonts w:hint="eastAsia"/>
          <w:sz w:val="28"/>
          <w:szCs w:val="36"/>
          <w:lang w:val="en-US" w:eastAsia="zh-CN"/>
        </w:rPr>
      </w:pPr>
      <w:r>
        <w:rPr>
          <w:rFonts w:hint="eastAsia"/>
          <w:sz w:val="28"/>
          <w:szCs w:val="36"/>
          <w:lang w:val="en-US" w:eastAsia="zh-CN"/>
        </w:rPr>
        <w:t>二、专业设备填写范例</w:t>
      </w:r>
    </w:p>
    <w:tbl>
      <w:tblPr>
        <w:tblStyle w:val="2"/>
        <w:tblW w:w="10166" w:type="dxa"/>
        <w:tblInd w:w="-6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3"/>
        <w:gridCol w:w="8503"/>
      </w:tblGrid>
      <w:tr w14:paraId="02B4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74" w:hRule="atLeast"/>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2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牛顿环实验仪</w:t>
            </w:r>
          </w:p>
        </w:tc>
        <w:tc>
          <w:tcPr>
            <w:tcW w:w="8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12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sz w:val="21"/>
                <w:szCs w:val="21"/>
              </w:rPr>
              <w:drawing>
                <wp:anchor distT="0" distB="0" distL="114300" distR="114300" simplePos="0" relativeHeight="251659264" behindDoc="0" locked="0" layoutInCell="1" allowOverlap="1">
                  <wp:simplePos x="0" y="0"/>
                  <wp:positionH relativeFrom="column">
                    <wp:posOffset>3401060</wp:posOffset>
                  </wp:positionH>
                  <wp:positionV relativeFrom="paragraph">
                    <wp:posOffset>223520</wp:posOffset>
                  </wp:positionV>
                  <wp:extent cx="1369695" cy="1704975"/>
                  <wp:effectExtent l="0" t="0" r="1905" b="9525"/>
                  <wp:wrapNone/>
                  <wp:docPr id="10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图片 1"/>
                          <pic:cNvPicPr>
                            <a:picLocks noChangeAspect="1"/>
                          </pic:cNvPicPr>
                        </pic:nvPicPr>
                        <pic:blipFill>
                          <a:blip r:embed="rId4"/>
                          <a:stretch>
                            <a:fillRect/>
                          </a:stretch>
                        </pic:blipFill>
                        <pic:spPr>
                          <a:xfrm>
                            <a:off x="0" y="0"/>
                            <a:ext cx="1369695" cy="1704975"/>
                          </a:xfrm>
                          <a:prstGeom prst="rect">
                            <a:avLst/>
                          </a:prstGeom>
                          <a:noFill/>
                          <a:ln w="9525">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实验内容：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1、读数显微镜的调节与使用；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2、用牛顿环测透镜的曲率半径；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3、用劈尖测薄片厚度。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1、放大率：30x；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2、测量范围：纵向50mm，最小读数0.01mm；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3、升降方向40mm，最小读数0.01mm；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4、测量精度：纵向测量精度为0.02mm；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5、工作距离：54.06mm视场直径：4.8mm；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6、物镜放大倍数3X/0.07，焦距(毫米)41.47；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7、目镜放大倍数10X，焦距(毫米)24.99；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8、观察方式：45°斜视，半反镜采用可调结构，方便实验；棱镜室360°可调，方便观察；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9、镜筒带磁性防下滑装置,横向移动采用轴承结构，大大降低维修保养频率；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10、低压钠灯连电源：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（1）发光波长：钠灯：589nm，589.6nm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（2）电感式，无噪音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（3）高度140mm至425mm可调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（4）三方向出光，黑色金属灯罩及底盘，配可拆卸毛玻璃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11、附件：牛顿环、劈尖。</w:t>
            </w:r>
          </w:p>
        </w:tc>
      </w:tr>
      <w:tr w14:paraId="3D28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61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数字电子技术实验箱</w:t>
            </w:r>
          </w:p>
        </w:tc>
        <w:tc>
          <w:tcPr>
            <w:tcW w:w="8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B1F2">
            <w:pPr>
              <w:keepNext w:val="0"/>
              <w:keepLines w:val="0"/>
              <w:widowControl/>
              <w:suppressLineNumbers w:val="0"/>
              <w:jc w:val="left"/>
              <w:textAlignment w:val="center"/>
              <w:rPr>
                <w:sz w:val="21"/>
                <w:szCs w:val="21"/>
              </w:rPr>
            </w:pPr>
            <w:r>
              <w:rPr>
                <w:rStyle w:val="4"/>
                <w:sz w:val="21"/>
                <w:szCs w:val="21"/>
                <w:lang w:val="en-US" w:eastAsia="zh-CN" w:bidi="ar"/>
              </w:rPr>
              <w:t>数字电子技术实验箱功能要求：</w:t>
            </w:r>
            <w:r>
              <w:rPr>
                <w:rStyle w:val="5"/>
                <w:sz w:val="21"/>
                <w:szCs w:val="21"/>
                <w:lang w:val="en-US" w:eastAsia="zh-CN" w:bidi="ar"/>
              </w:rPr>
              <w:br w:type="textWrapping"/>
            </w:r>
            <w:r>
              <w:rPr>
                <w:rStyle w:val="5"/>
                <w:sz w:val="21"/>
                <w:szCs w:val="21"/>
                <w:lang w:val="en-US" w:eastAsia="zh-CN" w:bidi="ar"/>
              </w:rPr>
              <w:t>1、支持传统的TTL逻辑器件（如逻辑门、触发器等小规模集成电路）进行实验；2、支持可编程逻辑器件（如PLA、GAL、CPLD、FPGA等大规模集成电路）进行实验；3、自带信号源，可产生宽/窄正脉冲及负脉冲，固定频率方波（1Hz至10MHz），连续可调方波（0Hz～100KHz），支持时序脉冲发生电路及启停控制电路；4、配备步进电机模块及相应驱动电路、实验模块；5、配备16位或更多逻辑电平开关及电平指示；6、配备6位或更多7段LED数码管，数码管可更换；7、配备2路或更多可调模拟电压信号源（0～±5V、0～±0.5V）；8、配备扬声器及驱动电路、蜂鸣器电路及麦克风电路；9、接线插孔操作便利，接线可靠；10、外形尺寸：500mm×350mm×200mm（长宽高）（近似即可）；11、工作电源：1）输入：AC220V±10%,50HZ；2）输出：(1)配置常见固定直流输出</w:t>
            </w:r>
            <w:r>
              <w:rPr>
                <w:rStyle w:val="6"/>
                <w:sz w:val="21"/>
                <w:szCs w:val="21"/>
                <w:lang w:val="en-US" w:eastAsia="zh-CN" w:bidi="ar"/>
              </w:rPr>
              <w:t>‌</w:t>
            </w:r>
            <w:r>
              <w:rPr>
                <w:rStyle w:val="7"/>
                <w:sz w:val="21"/>
                <w:szCs w:val="21"/>
                <w:lang w:val="en-US" w:eastAsia="zh-CN" w:bidi="ar"/>
              </w:rPr>
              <w:t>：+5V（2A）、-5V（0.5A）、±12V（0.5A）</w:t>
            </w:r>
            <w:r>
              <w:rPr>
                <w:rStyle w:val="6"/>
                <w:sz w:val="21"/>
                <w:szCs w:val="21"/>
                <w:lang w:val="en-US" w:eastAsia="zh-CN" w:bidi="ar"/>
              </w:rPr>
              <w:t>‌</w:t>
            </w:r>
            <w:r>
              <w:rPr>
                <w:rStyle w:val="7"/>
                <w:sz w:val="21"/>
                <w:szCs w:val="21"/>
                <w:lang w:val="en-US" w:eastAsia="zh-CN" w:bidi="ar"/>
              </w:rPr>
              <w:t>，+5V电源需集成欠压、过压、过流、短路及反向保护电路</w:t>
            </w:r>
            <w:r>
              <w:rPr>
                <w:rStyle w:val="6"/>
                <w:sz w:val="21"/>
                <w:szCs w:val="21"/>
                <w:lang w:val="en-US" w:eastAsia="zh-CN" w:bidi="ar"/>
              </w:rPr>
              <w:t>‌</w:t>
            </w:r>
            <w:r>
              <w:rPr>
                <w:rStyle w:val="7"/>
                <w:sz w:val="21"/>
                <w:szCs w:val="21"/>
                <w:lang w:val="en-US" w:eastAsia="zh-CN" w:bidi="ar"/>
              </w:rPr>
              <w:t>；(2)配置可调直流输出</w:t>
            </w:r>
            <w:r>
              <w:rPr>
                <w:rStyle w:val="6"/>
                <w:sz w:val="21"/>
                <w:szCs w:val="21"/>
                <w:lang w:val="en-US" w:eastAsia="zh-CN" w:bidi="ar"/>
              </w:rPr>
              <w:t>‌</w:t>
            </w:r>
            <w:r>
              <w:rPr>
                <w:rStyle w:val="7"/>
                <w:sz w:val="21"/>
                <w:szCs w:val="21"/>
                <w:lang w:val="en-US" w:eastAsia="zh-CN" w:bidi="ar"/>
              </w:rPr>
              <w:t>：DC±1.5V～±15V连续可调，，最大电流0.5A</w:t>
            </w:r>
            <w:r>
              <w:rPr>
                <w:rStyle w:val="6"/>
                <w:sz w:val="21"/>
                <w:szCs w:val="21"/>
                <w:lang w:val="en-US" w:eastAsia="zh-CN" w:bidi="ar"/>
              </w:rPr>
              <w:t>‌</w:t>
            </w:r>
            <w:r>
              <w:rPr>
                <w:rStyle w:val="7"/>
                <w:sz w:val="21"/>
                <w:szCs w:val="21"/>
                <w:lang w:val="en-US" w:eastAsia="zh-CN" w:bidi="ar"/>
              </w:rPr>
              <w:t>，有短路保护自动恢复功能；(3)交流输出，典型值：双路7.5V（带中心抽头）、14V或15V，用于整流滤波等实验‌；3）完善的电源保护电路：过流保护、过压保护、接反保护。</w:t>
            </w:r>
            <w:r>
              <w:rPr>
                <w:rStyle w:val="7"/>
                <w:sz w:val="21"/>
                <w:szCs w:val="21"/>
                <w:lang w:val="en-US" w:eastAsia="zh-CN" w:bidi="ar"/>
              </w:rPr>
              <w:br w:type="textWrapping"/>
            </w:r>
            <w:r>
              <w:rPr>
                <w:rStyle w:val="4"/>
                <w:sz w:val="21"/>
                <w:szCs w:val="21"/>
                <w:lang w:val="en-US" w:eastAsia="zh-CN" w:bidi="ar"/>
              </w:rPr>
              <w:t>数字电子技术实验箱要求支持以下相关实验：</w:t>
            </w:r>
            <w:r>
              <w:rPr>
                <w:rStyle w:val="5"/>
                <w:sz w:val="21"/>
                <w:szCs w:val="21"/>
                <w:lang w:val="en-US" w:eastAsia="zh-CN" w:bidi="ar"/>
              </w:rPr>
              <w:br w:type="textWrapping"/>
            </w:r>
            <w:r>
              <w:rPr>
                <w:rStyle w:val="5"/>
                <w:sz w:val="21"/>
                <w:szCs w:val="21"/>
                <w:lang w:val="en-US" w:eastAsia="zh-CN" w:bidi="ar"/>
              </w:rPr>
              <w:t>TTL/CMOS集成逻辑门的参数测试与使用；门电路的逻辑功能实验；常用组合逻辑功能器件的测试；触发器、计数器、寄存器等时序电路的功能测试；计数、译码、显示电路实验；555集成定时器及应用；数模/模数转换电路；步进电机调速控制等；</w:t>
            </w:r>
          </w:p>
        </w:tc>
      </w:tr>
    </w:tbl>
    <w:p w14:paraId="69ED1453">
      <w:pPr>
        <w:numPr>
          <w:ilvl w:val="0"/>
          <w:numId w:val="0"/>
        </w:numPr>
        <w:rPr>
          <w:rFonts w:hint="default"/>
          <w:sz w:val="21"/>
          <w:szCs w:val="21"/>
          <w:lang w:val="en-US" w:eastAsia="zh-CN"/>
        </w:rPr>
      </w:pPr>
    </w:p>
    <w:p w14:paraId="5B560A06">
      <w:pPr>
        <w:numPr>
          <w:ilvl w:val="0"/>
          <w:numId w:val="0"/>
        </w:numPr>
        <w:rPr>
          <w:rFonts w:hint="eastAsia"/>
          <w:sz w:val="21"/>
          <w:szCs w:val="21"/>
          <w:lang w:val="en-US" w:eastAsia="zh-CN"/>
        </w:rPr>
      </w:pPr>
    </w:p>
    <w:p w14:paraId="09890A60">
      <w:pPr>
        <w:numPr>
          <w:ilvl w:val="0"/>
          <w:numId w:val="0"/>
        </w:numPr>
        <w:rPr>
          <w:rFonts w:hint="eastAsia"/>
          <w:sz w:val="21"/>
          <w:szCs w:val="21"/>
          <w:lang w:val="en-US" w:eastAsia="zh-CN"/>
        </w:rPr>
      </w:pPr>
    </w:p>
    <w:p w14:paraId="366A5C18">
      <w:pPr>
        <w:numPr>
          <w:ilvl w:val="0"/>
          <w:numId w:val="0"/>
        </w:numPr>
        <w:rPr>
          <w:rFonts w:hint="eastAsia"/>
          <w:sz w:val="21"/>
          <w:szCs w:val="21"/>
          <w:lang w:val="en-US" w:eastAsia="zh-CN"/>
        </w:rPr>
      </w:pPr>
      <w:r>
        <w:rPr>
          <w:rFonts w:hint="eastAsia"/>
          <w:sz w:val="28"/>
          <w:szCs w:val="28"/>
          <w:lang w:val="en-US" w:eastAsia="zh-CN"/>
        </w:rPr>
        <w:t>三、电脑等通用设备范例</w:t>
      </w:r>
    </w:p>
    <w:tbl>
      <w:tblPr>
        <w:tblStyle w:val="2"/>
        <w:tblW w:w="10174" w:type="dxa"/>
        <w:tblInd w:w="-4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2"/>
        <w:gridCol w:w="8402"/>
      </w:tblGrid>
      <w:tr w14:paraId="6F88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7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w:t>
            </w:r>
          </w:p>
        </w:tc>
        <w:tc>
          <w:tcPr>
            <w:tcW w:w="8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28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 I7主频3.6GHz以上，内存：8GB以上，硬盘：1T固态硬盘,21寸液晶显示器，操作系统：Windows 10及以上系统 。</w:t>
            </w:r>
          </w:p>
        </w:tc>
      </w:tr>
      <w:tr w14:paraId="03EA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7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计算节点服务器</w:t>
            </w:r>
          </w:p>
        </w:tc>
        <w:tc>
          <w:tcPr>
            <w:tcW w:w="8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FB0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1.采用2U机架式服务器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2.CPU：2颗Intel Xeon 5318Y 主频2.1GHz 24核处理器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3.内存：24条32GB DDR4-3200服务器内存（共768G）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4.系统盘：配置2块480GB SATA SSD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5.存储盘：配置3块4TB SATA 7.2K HDD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6.网络:4端口千兆电接口网卡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7.RAID:P460-B4 12G SAS RAID卡模块(支持8个SAS Port,带4GB缓存)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8.电源：800W(1+1)白金级高效电源。</w:t>
            </w:r>
          </w:p>
        </w:tc>
      </w:tr>
      <w:tr w14:paraId="37BC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2D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智慧黑板</w:t>
            </w:r>
          </w:p>
        </w:tc>
        <w:tc>
          <w:tcPr>
            <w:tcW w:w="8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3A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希沃86英寸·纳米智慧黑板多媒体教学一体机触屏学校教室交互式电子会议平板（长4200mm，高1200mm，带插USB孔） 双系统OPS:i5、8G、256G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1.整机无任何外漏连接线，两边书写面板须支持磁吸功能，方便教学挂图展示和放置书写笔。整体面板可进行任意书写，拼缝处书写无断点，支持水性笔、普通粉笔、无尘粉笔等多种书写方式。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2、主屏显示尺寸≥86英寸，A型规格屏幕，屏幕图像4K分辨率≥ 3840×2160；屏幕亮度≥450cd/㎡，对比度≥5000:1。</w:t>
            </w:r>
          </w:p>
        </w:tc>
      </w:tr>
    </w:tbl>
    <w:p w14:paraId="1874C5B2">
      <w:pPr>
        <w:numPr>
          <w:ilvl w:val="0"/>
          <w:numId w:val="0"/>
        </w:numPr>
        <w:rPr>
          <w:rFonts w:hint="default"/>
          <w:sz w:val="21"/>
          <w:szCs w:val="21"/>
          <w:lang w:val="en-US" w:eastAsia="zh-CN"/>
        </w:rPr>
      </w:pPr>
    </w:p>
    <w:p w14:paraId="68A2C6B8">
      <w:pPr>
        <w:numPr>
          <w:ilvl w:val="0"/>
          <w:numId w:val="0"/>
        </w:numPr>
        <w:rPr>
          <w:rFonts w:hint="eastAsia"/>
          <w:sz w:val="28"/>
          <w:szCs w:val="28"/>
          <w:lang w:val="en-US" w:eastAsia="zh-CN"/>
        </w:rPr>
      </w:pPr>
      <w:r>
        <w:rPr>
          <w:rFonts w:hint="eastAsia"/>
          <w:sz w:val="28"/>
          <w:szCs w:val="28"/>
          <w:lang w:val="en-US" w:eastAsia="zh-CN"/>
        </w:rPr>
        <w:t>四、家具填写范例</w:t>
      </w:r>
    </w:p>
    <w:tbl>
      <w:tblPr>
        <w:tblStyle w:val="2"/>
        <w:tblW w:w="10173" w:type="dxa"/>
        <w:tblInd w:w="-6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7"/>
        <w:gridCol w:w="6837"/>
        <w:gridCol w:w="1609"/>
      </w:tblGrid>
      <w:tr w14:paraId="052A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4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电脑桌椅</w:t>
            </w:r>
          </w:p>
        </w:tc>
        <w:tc>
          <w:tcPr>
            <w:tcW w:w="6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B2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单人桌椅：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1、外形尺寸： 800mm*600mm*750mm。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2、桌面材质：2.5cm材质采用环保三聚氰胺板，全自动封边机PVC封边处理； 封边牢固，不脱胶。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3、钢架材质：桌身用优质冷轧钢管，钢管厚度达到国家标准1.0mm，采用国标钢优质精装冷轧管,表面经过酸洗磷化,防腐,防锈,钝化处理后静电喷塑。焊接部分采用高标准熔接焊，表面平整光滑，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4、地脚材质：采用PP工程塑料，结实、耐磨。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5、椅子:木质环保椅面有防撞设计，金属骨架，防滑胶套，产品尺寸33*24*50cm</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D0F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sz w:val="21"/>
                <w:szCs w:val="21"/>
              </w:rPr>
              <w:drawing>
                <wp:inline distT="0" distB="0" distL="114300" distR="114300">
                  <wp:extent cx="835025" cy="830580"/>
                  <wp:effectExtent l="0" t="0" r="3175" b="762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5"/>
                          <a:stretch>
                            <a:fillRect/>
                          </a:stretch>
                        </pic:blipFill>
                        <pic:spPr>
                          <a:xfrm>
                            <a:off x="0" y="0"/>
                            <a:ext cx="835025" cy="830580"/>
                          </a:xfrm>
                          <a:prstGeom prst="rect">
                            <a:avLst/>
                          </a:prstGeom>
                          <a:noFill/>
                          <a:ln w="9525">
                            <a:noFill/>
                          </a:ln>
                        </pic:spPr>
                      </pic:pic>
                    </a:graphicData>
                  </a:graphic>
                </wp:inline>
              </w:drawing>
            </w:r>
          </w:p>
        </w:tc>
      </w:tr>
      <w:tr w14:paraId="4927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DB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学生长形实训桌</w:t>
            </w:r>
          </w:p>
        </w:tc>
        <w:tc>
          <w:tcPr>
            <w:tcW w:w="6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642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（1）规格根据场地定制；单人位55cm*75cm                                                         （2）基材为优质高密度板；                                                               （3）含电脑主机柜，有走线功能，支持键盘架直接放桌面上，设计层板，可书本及相关物品；                                                                         （4.所有材料均达环保要求，并通过绿色环保认证；密封性好，外形美观，经久耐用。</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3DE9">
            <w:pPr>
              <w:keepNext w:val="0"/>
              <w:keepLines w:val="0"/>
              <w:widowControl/>
              <w:suppressLineNumbers w:val="0"/>
              <w:jc w:val="left"/>
              <w:textAlignment w:val="center"/>
              <w:rPr>
                <w:sz w:val="21"/>
                <w:szCs w:val="21"/>
              </w:rPr>
            </w:pPr>
          </w:p>
        </w:tc>
      </w:tr>
      <w:tr w14:paraId="2C8F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411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实训桌椅</w:t>
            </w:r>
          </w:p>
        </w:tc>
        <w:tc>
          <w:tcPr>
            <w:tcW w:w="6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2F2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六边形或异形岛形台（48个工位，包含6张靠背椅子）：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1、面材：采用环保MFC板贴面，耐磨、耐脏、耐高温，颜色多样供选；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2、基材：采用“露水河”、“吉林森工”同等级品牌环保刨花板，抗压强度、甲醛释放量等环保要求都达到国家木材检测标准，2mm厚同色优质PVC封边，进口热熔胶，全自动一次性封边、切口整齐无锯齿。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3、五金配件：采用"DTC”门铰、“BMB”导轨及优质五金配件连接件。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4、功能：正台设有隔层，主机箱，走线孔等，整体美观而稳固。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5、教师椅1把，靠背升降椅、安全防爆、铝合金。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4D9">
            <w:pPr>
              <w:keepNext w:val="0"/>
              <w:keepLines w:val="0"/>
              <w:widowControl/>
              <w:suppressLineNumbers w:val="0"/>
              <w:jc w:val="left"/>
              <w:textAlignment w:val="center"/>
              <w:rPr>
                <w:sz w:val="21"/>
                <w:szCs w:val="21"/>
              </w:rPr>
            </w:pPr>
          </w:p>
        </w:tc>
      </w:tr>
      <w:tr w14:paraId="497A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E11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讲台</w:t>
            </w:r>
          </w:p>
        </w:tc>
        <w:tc>
          <w:tcPr>
            <w:tcW w:w="6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15D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（1）规格：长1200*宽900*高950；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（2）材质：讲台由实木扶手和优质冷轧钢板相结合构造而成，真材实料，工艺考究，豪华美观。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（3）工艺：四周无棱角安全处理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（4）右侧具有抽拉式抽屉，可放置实物展示台                                                       （5）含电脑主机柜，有走线功能，支持键盘架直接放桌面上，设计层板，可书本及相关物品；                                                                         （6）所有材料均达环保要求，并通过绿色环保认证；密封性好，外形美观，经久耐用。</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AA00">
            <w:pPr>
              <w:keepNext w:val="0"/>
              <w:keepLines w:val="0"/>
              <w:widowControl/>
              <w:suppressLineNumbers w:val="0"/>
              <w:jc w:val="left"/>
              <w:textAlignment w:val="center"/>
              <w:rPr>
                <w:sz w:val="21"/>
                <w:szCs w:val="21"/>
              </w:rPr>
            </w:pPr>
          </w:p>
        </w:tc>
      </w:tr>
      <w:tr w14:paraId="3A7D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13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四门文件柜</w:t>
            </w:r>
          </w:p>
        </w:tc>
        <w:tc>
          <w:tcPr>
            <w:tcW w:w="6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D5B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钢制文件柜，外形尺寸：高180mm×宽850mm×深390mm（接近即可）</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D25E">
            <w:pPr>
              <w:keepNext w:val="0"/>
              <w:keepLines w:val="0"/>
              <w:widowControl/>
              <w:suppressLineNumbers w:val="0"/>
              <w:jc w:val="left"/>
              <w:textAlignment w:val="center"/>
              <w:rPr>
                <w:sz w:val="21"/>
                <w:szCs w:val="21"/>
              </w:rPr>
            </w:pPr>
          </w:p>
        </w:tc>
      </w:tr>
    </w:tbl>
    <w:p w14:paraId="4241C291">
      <w:pPr>
        <w:numPr>
          <w:ilvl w:val="0"/>
          <w:numId w:val="0"/>
        </w:numPr>
        <w:rPr>
          <w:rFonts w:hint="default"/>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6BB8D"/>
    <w:multiLevelType w:val="singleLevel"/>
    <w:tmpl w:val="4AB6BB8D"/>
    <w:lvl w:ilvl="0" w:tentative="0">
      <w:start w:val="1"/>
      <w:numFmt w:val="decimal"/>
      <w:lvlText w:val="%1."/>
      <w:lvlJc w:val="left"/>
      <w:pPr>
        <w:tabs>
          <w:tab w:val="left" w:pos="312"/>
        </w:tabs>
      </w:pPr>
      <w:rPr>
        <w:rFonts w:hint="default"/>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D4013"/>
    <w:rsid w:val="14E57A11"/>
    <w:rsid w:val="1FEA7983"/>
    <w:rsid w:val="248E0C9D"/>
    <w:rsid w:val="2A82574B"/>
    <w:rsid w:val="34E160B0"/>
    <w:rsid w:val="4AC11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uiPriority w:val="0"/>
    <w:rPr>
      <w:rFonts w:hint="eastAsia" w:ascii="宋体" w:hAnsi="宋体" w:eastAsia="宋体" w:cs="宋体"/>
      <w:b/>
      <w:bCs/>
      <w:color w:val="000000"/>
      <w:sz w:val="22"/>
      <w:szCs w:val="22"/>
      <w:u w:val="none"/>
    </w:rPr>
  </w:style>
  <w:style w:type="character" w:customStyle="1" w:styleId="5">
    <w:name w:val="font21"/>
    <w:basedOn w:val="3"/>
    <w:uiPriority w:val="0"/>
    <w:rPr>
      <w:rFonts w:hint="eastAsia" w:ascii="宋体" w:hAnsi="宋体" w:eastAsia="宋体" w:cs="宋体"/>
      <w:color w:val="000000"/>
      <w:sz w:val="22"/>
      <w:szCs w:val="22"/>
      <w:u w:val="none"/>
    </w:rPr>
  </w:style>
  <w:style w:type="character" w:customStyle="1" w:styleId="6">
    <w:name w:val="font51"/>
    <w:basedOn w:val="3"/>
    <w:qFormat/>
    <w:uiPriority w:val="0"/>
    <w:rPr>
      <w:rFonts w:ascii="MS Gothic" w:hAnsi="MS Gothic" w:eastAsia="MS Gothic" w:cs="MS Gothic"/>
      <w:color w:val="000000"/>
      <w:sz w:val="22"/>
      <w:szCs w:val="22"/>
      <w:u w:val="none"/>
    </w:rPr>
  </w:style>
  <w:style w:type="character" w:customStyle="1" w:styleId="7">
    <w:name w:val="font6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2397</Words>
  <Characters>2608</Characters>
  <Lines>0</Lines>
  <Paragraphs>0</Paragraphs>
  <TotalTime>15</TotalTime>
  <ScaleCrop>false</ScaleCrop>
  <LinksUpToDate>false</LinksUpToDate>
  <CharactersWithSpaces>2608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2025-10-11T08:43:00Z</dcterms:created>
  <dc:creator>晏志祺</dc:creator>
  <cp:lastModifiedBy>晏志祺</cp:lastModifiedBy>
  <dcterms:modified xsi:type="dcterms:W3CDTF">2025-10-13T08:02:43Z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eyJoZGlkIjoiOWYyMzdiOTlkNGEzYjNkYTFmNDA4YmY2Mjc0MmM0Y2UiLCJ1c2VySWQiOiI2NzU2MDE1MzkifQ==</vt:lpwstr>
  </property>
  <property fmtid="{D5CDD505-2E9C-101B-9397-08002B2CF9AE}" pid="4" name="ICV">
    <vt:lpwstr>003EBC95C5B74F53AC222CD2305E645D_12</vt:lpwstr>
  </property>
</Properties>
</file>