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7B483DB">
      <w:pPr>
        <w:pStyle w:val="10"/>
        <w:widowControl/>
      </w:pPr>
      <w:r>
        <w:t>附件1</w:t>
      </w:r>
    </w:p>
    <w:p w14:paraId="727ED52A">
      <w:pPr>
        <w:pStyle w:val="7"/>
        <w:widowControl/>
        <w:jc w:val="center"/>
      </w:pPr>
      <w:bookmarkStart w:id="0" w:name="_GoBack"/>
      <w:r>
        <w:t>2026年度湖北省高等教育学会课题指南</w:t>
      </w:r>
    </w:p>
    <w:bookmarkEnd w:id="0"/>
    <w:p w14:paraId="3D66F7E7">
      <w:pPr>
        <w:pStyle w:val="2"/>
        <w:widowControl/>
      </w:pPr>
      <w:r>
        <w:t>一、学术</w:t>
      </w:r>
      <w:r>
        <w:rPr>
          <w:rFonts w:hint="eastAsia"/>
          <w:lang w:val="en-US" w:eastAsia="zh-CN"/>
        </w:rPr>
        <w:t>研究</w:t>
      </w:r>
      <w:r>
        <w:t>课题</w:t>
      </w:r>
    </w:p>
    <w:p w14:paraId="48296C52">
      <w:pPr>
        <w:pStyle w:val="3"/>
        <w:widowControl/>
      </w:pPr>
      <w:r>
        <w:t>（一）学术成果专项课题</w:t>
      </w:r>
    </w:p>
    <w:p w14:paraId="549DF8D1">
      <w:pPr>
        <w:pStyle w:val="4"/>
        <w:widowControl/>
        <w:rPr>
          <w:rFonts w:ascii="Times New Roman" w:hAnsi="Times New Roman" w:eastAsia="仿宋_GB2312" w:cs="仿宋_GB2312"/>
          <w:sz w:val="32"/>
          <w:szCs w:val="32"/>
        </w:rPr>
      </w:pPr>
      <w:r>
        <w:rPr>
          <w:rFonts w:ascii="Times New Roman" w:hAnsi="Times New Roman" w:eastAsia="仿宋_GB2312" w:cs="仿宋_GB2312"/>
          <w:sz w:val="32"/>
          <w:szCs w:val="32"/>
        </w:rPr>
        <w:t>1.教育强省建设的湖北路径与战略研究</w:t>
      </w:r>
    </w:p>
    <w:p w14:paraId="07C593A1">
      <w:pPr>
        <w:pStyle w:val="4"/>
        <w:widowControl/>
        <w:rPr>
          <w:rFonts w:ascii="Times New Roman" w:hAnsi="Times New Roman" w:eastAsia="仿宋_GB2312" w:cs="仿宋_GB2312"/>
          <w:sz w:val="32"/>
          <w:szCs w:val="32"/>
        </w:rPr>
      </w:pPr>
      <w:r>
        <w:rPr>
          <w:rFonts w:ascii="Times New Roman" w:hAnsi="Times New Roman" w:eastAsia="仿宋_GB2312" w:cs="仿宋_GB2312"/>
          <w:sz w:val="32"/>
          <w:szCs w:val="32"/>
        </w:rPr>
        <w:t>2.高等教育支撑湖北“支点建设”的贡献度与提升策略</w:t>
      </w:r>
    </w:p>
    <w:p w14:paraId="6DA8CC13">
      <w:pPr>
        <w:pStyle w:val="4"/>
        <w:widowControl/>
        <w:rPr>
          <w:rFonts w:ascii="Times New Roman" w:hAnsi="Times New Roman" w:eastAsia="仿宋_GB2312" w:cs="仿宋_GB2312"/>
          <w:sz w:val="32"/>
          <w:szCs w:val="32"/>
        </w:rPr>
      </w:pPr>
      <w:r>
        <w:rPr>
          <w:rFonts w:ascii="Times New Roman" w:hAnsi="Times New Roman" w:eastAsia="仿宋_GB2312" w:cs="仿宋_GB2312"/>
          <w:sz w:val="32"/>
          <w:szCs w:val="32"/>
        </w:rPr>
        <w:t>3.教育科技人才一体化推进的体制机制研究</w:t>
      </w:r>
    </w:p>
    <w:p w14:paraId="450FFFE0">
      <w:pPr>
        <w:pStyle w:val="4"/>
        <w:widowControl/>
        <w:rPr>
          <w:rFonts w:ascii="Times New Roman" w:hAnsi="Times New Roman" w:eastAsia="仿宋_GB2312" w:cs="仿宋_GB2312"/>
          <w:sz w:val="32"/>
          <w:szCs w:val="32"/>
        </w:rPr>
      </w:pPr>
      <w:r>
        <w:rPr>
          <w:rFonts w:ascii="Times New Roman" w:hAnsi="Times New Roman" w:eastAsia="仿宋_GB2312" w:cs="仿宋_GB2312"/>
          <w:sz w:val="32"/>
          <w:szCs w:val="32"/>
        </w:rPr>
        <w:t>4.教育强国背景下高校因地制宜特色发展路径研究</w:t>
      </w:r>
    </w:p>
    <w:p w14:paraId="7D69641C">
      <w:pPr>
        <w:pStyle w:val="4"/>
        <w:widowControl/>
        <w:rPr>
          <w:rFonts w:ascii="Times New Roman" w:hAnsi="Times New Roman" w:eastAsia="仿宋_GB2312" w:cs="仿宋_GB2312"/>
          <w:sz w:val="32"/>
          <w:szCs w:val="32"/>
        </w:rPr>
      </w:pPr>
      <w:r>
        <w:rPr>
          <w:rFonts w:ascii="Times New Roman" w:hAnsi="Times New Roman" w:eastAsia="仿宋_GB2312" w:cs="仿宋_GB2312"/>
          <w:sz w:val="32"/>
          <w:szCs w:val="32"/>
        </w:rPr>
        <w:t>5.高校分类发展的政策支持与评价标准研究</w:t>
      </w:r>
    </w:p>
    <w:p w14:paraId="25AFFA8D">
      <w:pPr>
        <w:pStyle w:val="4"/>
        <w:widowControl/>
        <w:rPr>
          <w:rFonts w:ascii="Times New Roman" w:hAnsi="Times New Roman" w:eastAsia="仿宋_GB2312" w:cs="仿宋_GB2312"/>
          <w:sz w:val="32"/>
          <w:szCs w:val="32"/>
        </w:rPr>
      </w:pPr>
      <w:r>
        <w:rPr>
          <w:rFonts w:ascii="Times New Roman" w:hAnsi="Times New Roman" w:eastAsia="仿宋_GB2312" w:cs="仿宋_GB2312"/>
          <w:sz w:val="32"/>
          <w:szCs w:val="32"/>
        </w:rPr>
        <w:t>6.数智化赋能高校科学研究的实践模式与效能评估</w:t>
      </w:r>
    </w:p>
    <w:p w14:paraId="1953519D">
      <w:pPr>
        <w:pStyle w:val="4"/>
        <w:widowControl/>
        <w:rPr>
          <w:rFonts w:ascii="Times New Roman" w:hAnsi="Times New Roman" w:eastAsia="仿宋_GB2312" w:cs="仿宋_GB2312"/>
          <w:sz w:val="32"/>
          <w:szCs w:val="32"/>
        </w:rPr>
      </w:pPr>
      <w:r>
        <w:rPr>
          <w:rFonts w:ascii="Times New Roman" w:hAnsi="Times New Roman" w:eastAsia="仿宋_GB2312" w:cs="仿宋_GB2312"/>
          <w:sz w:val="32"/>
          <w:szCs w:val="32"/>
        </w:rPr>
        <w:t>7.人工智能赋能高校教学范式的实践模式与效能评估</w:t>
      </w:r>
    </w:p>
    <w:p w14:paraId="5035A54D">
      <w:pPr>
        <w:pStyle w:val="4"/>
        <w:widowControl/>
        <w:rPr>
          <w:rFonts w:ascii="Times New Roman" w:hAnsi="Times New Roman" w:eastAsia="仿宋_GB2312" w:cs="仿宋_GB2312"/>
          <w:sz w:val="32"/>
          <w:szCs w:val="32"/>
        </w:rPr>
      </w:pPr>
      <w:r>
        <w:rPr>
          <w:rFonts w:ascii="Times New Roman" w:hAnsi="Times New Roman" w:eastAsia="仿宋_GB2312" w:cs="仿宋_GB2312"/>
          <w:sz w:val="32"/>
          <w:szCs w:val="32"/>
        </w:rPr>
        <w:t>8.未来教师素质与能力研究</w:t>
      </w:r>
    </w:p>
    <w:p w14:paraId="5B8F3FC9">
      <w:pPr>
        <w:pStyle w:val="4"/>
        <w:widowControl/>
        <w:rPr>
          <w:rFonts w:ascii="Times New Roman" w:hAnsi="Times New Roman" w:eastAsia="仿宋_GB2312" w:cs="仿宋_GB2312"/>
          <w:sz w:val="32"/>
          <w:szCs w:val="32"/>
        </w:rPr>
      </w:pPr>
      <w:r>
        <w:rPr>
          <w:rFonts w:ascii="Times New Roman" w:hAnsi="Times New Roman" w:eastAsia="仿宋_GB2312" w:cs="仿宋_GB2312"/>
          <w:sz w:val="32"/>
          <w:szCs w:val="32"/>
        </w:rPr>
        <w:t>9.未来大学与新一代大学范式研究</w:t>
      </w:r>
    </w:p>
    <w:p w14:paraId="46D8B8E9">
      <w:pPr>
        <w:pStyle w:val="4"/>
        <w:widowControl/>
        <w:rPr>
          <w:rFonts w:ascii="Times New Roman" w:hAnsi="Times New Roman" w:eastAsia="仿宋_GB2312" w:cs="仿宋_GB2312"/>
          <w:sz w:val="32"/>
          <w:szCs w:val="32"/>
        </w:rPr>
      </w:pPr>
      <w:r>
        <w:rPr>
          <w:rFonts w:ascii="Times New Roman" w:hAnsi="Times New Roman" w:eastAsia="仿宋_GB2312" w:cs="仿宋_GB2312"/>
          <w:sz w:val="32"/>
          <w:szCs w:val="32"/>
        </w:rPr>
        <w:t>10.人工智能未来发展方向研究</w:t>
      </w:r>
    </w:p>
    <w:p w14:paraId="3A6B2C13">
      <w:pPr>
        <w:pStyle w:val="4"/>
        <w:widowControl/>
        <w:rPr>
          <w:rFonts w:ascii="Times New Roman" w:hAnsi="Times New Roman" w:eastAsia="仿宋_GB2312" w:cs="仿宋_GB2312"/>
          <w:sz w:val="32"/>
          <w:szCs w:val="32"/>
        </w:rPr>
      </w:pPr>
      <w:r>
        <w:rPr>
          <w:rFonts w:ascii="Times New Roman" w:hAnsi="Times New Roman" w:eastAsia="仿宋_GB2312" w:cs="仿宋_GB2312"/>
          <w:sz w:val="32"/>
          <w:szCs w:val="32"/>
        </w:rPr>
        <w:t>11.未来学习中心建设路径研究</w:t>
      </w:r>
    </w:p>
    <w:p w14:paraId="5821D799">
      <w:pPr>
        <w:pStyle w:val="4"/>
        <w:widowControl/>
        <w:rPr>
          <w:rFonts w:ascii="Times New Roman" w:hAnsi="Times New Roman" w:eastAsia="仿宋_GB2312" w:cs="仿宋_GB2312"/>
          <w:sz w:val="32"/>
          <w:szCs w:val="32"/>
        </w:rPr>
      </w:pPr>
      <w:r>
        <w:rPr>
          <w:rFonts w:ascii="Times New Roman" w:hAnsi="Times New Roman" w:eastAsia="仿宋_GB2312" w:cs="仿宋_GB2312"/>
          <w:sz w:val="32"/>
          <w:szCs w:val="32"/>
        </w:rPr>
        <w:t>12.高等教育治理改革与内部权力运行机制研究</w:t>
      </w:r>
    </w:p>
    <w:p w14:paraId="6C8831DD">
      <w:pPr>
        <w:pStyle w:val="4"/>
        <w:widowControl/>
        <w:rPr>
          <w:rFonts w:ascii="Times New Roman" w:hAnsi="Times New Roman" w:eastAsia="仿宋_GB2312" w:cs="仿宋_GB2312"/>
          <w:sz w:val="32"/>
          <w:szCs w:val="32"/>
        </w:rPr>
      </w:pPr>
      <w:r>
        <w:rPr>
          <w:rFonts w:ascii="Times New Roman" w:hAnsi="Times New Roman" w:eastAsia="仿宋_GB2312" w:cs="仿宋_GB2312"/>
          <w:sz w:val="32"/>
          <w:szCs w:val="32"/>
        </w:rPr>
        <w:t>13.数字化转型视域下高等教育系统性重塑的路径与模式研究</w:t>
      </w:r>
    </w:p>
    <w:p w14:paraId="0C7926E5">
      <w:pPr>
        <w:pStyle w:val="4"/>
        <w:widowControl/>
        <w:rPr>
          <w:rFonts w:ascii="Times New Roman" w:hAnsi="Times New Roman" w:eastAsia="仿宋_GB2312" w:cs="仿宋_GB2312"/>
          <w:sz w:val="32"/>
          <w:szCs w:val="32"/>
        </w:rPr>
      </w:pPr>
      <w:r>
        <w:rPr>
          <w:rFonts w:ascii="Times New Roman" w:hAnsi="Times New Roman" w:eastAsia="仿宋_GB2312" w:cs="仿宋_GB2312"/>
          <w:sz w:val="32"/>
          <w:szCs w:val="32"/>
        </w:rPr>
        <w:t>14.新质生产力发展背景下学科专业动态调整预警机制研究</w:t>
      </w:r>
    </w:p>
    <w:p w14:paraId="47C6D90E">
      <w:pPr>
        <w:pStyle w:val="4"/>
        <w:widowControl/>
        <w:rPr>
          <w:rFonts w:ascii="Times New Roman" w:hAnsi="Times New Roman" w:eastAsia="仿宋_GB2312" w:cs="仿宋_GB2312"/>
          <w:spacing w:val="-20"/>
          <w:sz w:val="32"/>
          <w:szCs w:val="32"/>
        </w:rPr>
      </w:pPr>
      <w:r>
        <w:rPr>
          <w:rFonts w:ascii="Times New Roman" w:hAnsi="Times New Roman" w:eastAsia="仿宋_GB2312" w:cs="仿宋_GB2312"/>
          <w:sz w:val="32"/>
          <w:szCs w:val="32"/>
        </w:rPr>
        <w:t>15.</w:t>
      </w:r>
      <w:r>
        <w:rPr>
          <w:rFonts w:ascii="Times New Roman" w:hAnsi="Times New Roman" w:eastAsia="仿宋_GB2312" w:cs="仿宋_GB2312"/>
          <w:spacing w:val="-20"/>
          <w:sz w:val="32"/>
          <w:szCs w:val="32"/>
        </w:rPr>
        <w:t>面向湖北省优势产业集群的高校学科专业适配性评价与优化</w:t>
      </w:r>
    </w:p>
    <w:p w14:paraId="66815C2C">
      <w:pPr>
        <w:pStyle w:val="4"/>
        <w:widowControl/>
        <w:rPr>
          <w:rFonts w:ascii="Times New Roman" w:hAnsi="Times New Roman" w:eastAsia="仿宋_GB2312" w:cs="仿宋_GB2312"/>
          <w:sz w:val="32"/>
          <w:szCs w:val="32"/>
        </w:rPr>
      </w:pPr>
      <w:r>
        <w:rPr>
          <w:rFonts w:ascii="Times New Roman" w:hAnsi="Times New Roman" w:eastAsia="仿宋_GB2312" w:cs="仿宋_GB2312"/>
          <w:sz w:val="32"/>
          <w:szCs w:val="32"/>
        </w:rPr>
        <w:t>16.基于学生发展增值评价的专业动态调整与资源配置研究</w:t>
      </w:r>
    </w:p>
    <w:p w14:paraId="2BF26F44">
      <w:pPr>
        <w:pStyle w:val="4"/>
        <w:widowControl/>
        <w:rPr>
          <w:rFonts w:ascii="Times New Roman" w:hAnsi="Times New Roman" w:eastAsia="仿宋_GB2312" w:cs="仿宋_GB2312"/>
          <w:sz w:val="32"/>
          <w:szCs w:val="32"/>
        </w:rPr>
      </w:pPr>
      <w:r>
        <w:rPr>
          <w:rFonts w:ascii="Times New Roman" w:hAnsi="Times New Roman" w:eastAsia="仿宋_GB2312" w:cs="仿宋_GB2312"/>
          <w:sz w:val="32"/>
          <w:szCs w:val="32"/>
        </w:rPr>
        <w:t>17.跨学科人才培养模式创新与核心课程体系重构研究</w:t>
      </w:r>
    </w:p>
    <w:p w14:paraId="10238A66">
      <w:pPr>
        <w:pStyle w:val="4"/>
        <w:widowControl/>
        <w:rPr>
          <w:rFonts w:ascii="Times New Roman" w:hAnsi="Times New Roman" w:eastAsia="仿宋_GB2312" w:cs="仿宋_GB2312"/>
          <w:sz w:val="32"/>
          <w:szCs w:val="32"/>
        </w:rPr>
      </w:pPr>
      <w:r>
        <w:rPr>
          <w:rFonts w:ascii="Times New Roman" w:hAnsi="Times New Roman" w:eastAsia="仿宋_GB2312" w:cs="仿宋_GB2312"/>
          <w:sz w:val="32"/>
          <w:szCs w:val="32"/>
        </w:rPr>
        <w:t>18.人工智能驱动的高校个性化学习系统构建与应用</w:t>
      </w:r>
    </w:p>
    <w:p w14:paraId="087C4532">
      <w:pPr>
        <w:pStyle w:val="4"/>
        <w:widowControl/>
        <w:rPr>
          <w:rFonts w:ascii="Times New Roman" w:hAnsi="Times New Roman" w:eastAsia="仿宋_GB2312" w:cs="仿宋_GB2312"/>
          <w:sz w:val="32"/>
          <w:szCs w:val="32"/>
        </w:rPr>
      </w:pPr>
      <w:r>
        <w:rPr>
          <w:rFonts w:ascii="Times New Roman" w:hAnsi="Times New Roman" w:eastAsia="仿宋_GB2312" w:cs="仿宋_GB2312"/>
          <w:sz w:val="32"/>
          <w:szCs w:val="32"/>
        </w:rPr>
        <w:t>19.人机共生环境下师生互动模式与教学能动性研究</w:t>
      </w:r>
    </w:p>
    <w:p w14:paraId="635A7569">
      <w:pPr>
        <w:pStyle w:val="4"/>
        <w:widowControl/>
        <w:rPr>
          <w:rFonts w:ascii="Times New Roman" w:hAnsi="Times New Roman" w:eastAsia="仿宋_GB2312" w:cs="仿宋_GB2312"/>
          <w:sz w:val="32"/>
          <w:szCs w:val="32"/>
        </w:rPr>
      </w:pPr>
      <w:r>
        <w:rPr>
          <w:rFonts w:ascii="Times New Roman" w:hAnsi="Times New Roman" w:eastAsia="仿宋_GB2312" w:cs="仿宋_GB2312"/>
          <w:sz w:val="32"/>
          <w:szCs w:val="32"/>
        </w:rPr>
        <w:t>20.现代产业学院可持续发展模式与治理结构优化研究</w:t>
      </w:r>
    </w:p>
    <w:p w14:paraId="74317A5B">
      <w:pPr>
        <w:pStyle w:val="4"/>
        <w:widowControl/>
        <w:rPr>
          <w:rFonts w:ascii="Times New Roman" w:hAnsi="Times New Roman" w:eastAsia="仿宋_GB2312" w:cs="仿宋_GB2312"/>
          <w:sz w:val="32"/>
          <w:szCs w:val="32"/>
        </w:rPr>
      </w:pPr>
      <w:r>
        <w:rPr>
          <w:rFonts w:ascii="Times New Roman" w:hAnsi="Times New Roman" w:eastAsia="仿宋_GB2312" w:cs="仿宋_GB2312"/>
          <w:sz w:val="32"/>
          <w:szCs w:val="32"/>
        </w:rPr>
        <w:t>21.科教融汇背景下高校科研平台服务地方效能评价体系研究</w:t>
      </w:r>
    </w:p>
    <w:p w14:paraId="784D7BF1">
      <w:pPr>
        <w:pStyle w:val="4"/>
        <w:widowControl/>
        <w:rPr>
          <w:rFonts w:ascii="Times New Roman" w:hAnsi="Times New Roman" w:eastAsia="仿宋_GB2312" w:cs="仿宋_GB2312"/>
          <w:sz w:val="32"/>
          <w:szCs w:val="32"/>
        </w:rPr>
      </w:pPr>
      <w:r>
        <w:rPr>
          <w:rFonts w:ascii="Times New Roman" w:hAnsi="Times New Roman" w:eastAsia="仿宋_GB2312" w:cs="仿宋_GB2312"/>
          <w:sz w:val="32"/>
          <w:szCs w:val="32"/>
        </w:rPr>
        <w:t>22.红色文化资源融入“大思政课”的路径与机制研究</w:t>
      </w:r>
    </w:p>
    <w:p w14:paraId="4EEE76ED">
      <w:pPr>
        <w:pStyle w:val="4"/>
        <w:widowControl/>
        <w:rPr>
          <w:rFonts w:ascii="Times New Roman" w:hAnsi="Times New Roman" w:eastAsia="仿宋_GB2312" w:cs="仿宋_GB2312"/>
          <w:sz w:val="32"/>
          <w:szCs w:val="32"/>
        </w:rPr>
      </w:pPr>
      <w:r>
        <w:rPr>
          <w:rFonts w:ascii="Times New Roman" w:hAnsi="Times New Roman" w:eastAsia="仿宋_GB2312" w:cs="仿宋_GB2312"/>
          <w:sz w:val="32"/>
          <w:szCs w:val="32"/>
        </w:rPr>
        <w:t>23.湖北高校国际化发展战略与国际传播能力建设</w:t>
      </w:r>
    </w:p>
    <w:p w14:paraId="7E48C3DF">
      <w:pPr>
        <w:pStyle w:val="4"/>
        <w:widowControl/>
        <w:rPr>
          <w:rFonts w:ascii="Times New Roman" w:hAnsi="Times New Roman" w:eastAsia="仿宋_GB2312" w:cs="仿宋_GB2312"/>
          <w:sz w:val="32"/>
          <w:szCs w:val="32"/>
        </w:rPr>
      </w:pPr>
      <w:r>
        <w:rPr>
          <w:rFonts w:ascii="Times New Roman" w:hAnsi="Times New Roman" w:eastAsia="仿宋_GB2312" w:cs="仿宋_GB2312"/>
          <w:sz w:val="32"/>
          <w:szCs w:val="32"/>
        </w:rPr>
        <w:t>24.荆楚文化融入高等教育国际传播的路径研究</w:t>
      </w:r>
    </w:p>
    <w:p w14:paraId="6647758F">
      <w:pPr>
        <w:pStyle w:val="4"/>
        <w:widowControl/>
        <w:rPr>
          <w:rFonts w:ascii="Times New Roman" w:hAnsi="Times New Roman" w:eastAsia="仿宋_GB2312" w:cs="仿宋_GB2312"/>
          <w:sz w:val="32"/>
          <w:szCs w:val="32"/>
        </w:rPr>
      </w:pPr>
      <w:r>
        <w:rPr>
          <w:rFonts w:ascii="Times New Roman" w:hAnsi="Times New Roman" w:eastAsia="仿宋_GB2312" w:cs="仿宋_GB2312"/>
          <w:sz w:val="32"/>
          <w:szCs w:val="32"/>
        </w:rPr>
        <w:t>25.民办高校分类发展的政策支持与质量保障研究</w:t>
      </w:r>
    </w:p>
    <w:p w14:paraId="2170228D">
      <w:pPr>
        <w:pStyle w:val="4"/>
        <w:widowControl/>
        <w:rPr>
          <w:rFonts w:ascii="Times New Roman" w:hAnsi="Times New Roman" w:eastAsia="仿宋_GB2312" w:cs="仿宋_GB2312"/>
          <w:sz w:val="32"/>
          <w:szCs w:val="32"/>
        </w:rPr>
      </w:pPr>
      <w:r>
        <w:rPr>
          <w:rFonts w:ascii="Times New Roman" w:hAnsi="Times New Roman" w:eastAsia="仿宋_GB2312" w:cs="仿宋_GB2312"/>
          <w:sz w:val="32"/>
          <w:szCs w:val="32"/>
        </w:rPr>
        <w:t>26.高职院校“新双高”建设的内涵、路径与评价研究</w:t>
      </w:r>
    </w:p>
    <w:p w14:paraId="3EC4E983">
      <w:pPr>
        <w:pStyle w:val="4"/>
        <w:widowControl/>
        <w:rPr>
          <w:rFonts w:ascii="Times New Roman" w:hAnsi="Times New Roman" w:eastAsia="仿宋_GB2312" w:cs="仿宋_GB2312"/>
          <w:sz w:val="32"/>
          <w:szCs w:val="32"/>
        </w:rPr>
      </w:pPr>
      <w:r>
        <w:rPr>
          <w:rFonts w:ascii="Times New Roman" w:hAnsi="Times New Roman" w:eastAsia="仿宋_GB2312" w:cs="仿宋_GB2312"/>
          <w:sz w:val="32"/>
          <w:szCs w:val="32"/>
        </w:rPr>
        <w:t>27.大学生全面发展与个性化成长支持体系研究</w:t>
      </w:r>
    </w:p>
    <w:p w14:paraId="411D700F">
      <w:pPr>
        <w:pStyle w:val="4"/>
        <w:widowControl/>
        <w:rPr>
          <w:rFonts w:ascii="Times New Roman" w:hAnsi="Times New Roman" w:eastAsia="仿宋_GB2312" w:cs="仿宋_GB2312"/>
          <w:sz w:val="32"/>
          <w:szCs w:val="32"/>
        </w:rPr>
      </w:pPr>
      <w:r>
        <w:rPr>
          <w:rFonts w:ascii="Times New Roman" w:hAnsi="Times New Roman" w:eastAsia="仿宋_GB2312" w:cs="仿宋_GB2312"/>
          <w:sz w:val="32"/>
          <w:szCs w:val="32"/>
        </w:rPr>
        <w:t>28.大学生学习动机变迁与教学应对策略研究</w:t>
      </w:r>
    </w:p>
    <w:p w14:paraId="44C450A3">
      <w:pPr>
        <w:pStyle w:val="4"/>
        <w:widowControl/>
        <w:rPr>
          <w:rFonts w:ascii="Times New Roman" w:hAnsi="Times New Roman" w:eastAsia="仿宋_GB2312" w:cs="仿宋_GB2312"/>
          <w:sz w:val="32"/>
          <w:szCs w:val="32"/>
        </w:rPr>
      </w:pPr>
      <w:r>
        <w:rPr>
          <w:rFonts w:ascii="Times New Roman" w:hAnsi="Times New Roman" w:eastAsia="仿宋_GB2312" w:cs="仿宋_GB2312"/>
          <w:sz w:val="32"/>
          <w:szCs w:val="32"/>
        </w:rPr>
        <w:t>29.高等教育数字化转型中的伦理风险与治理研究</w:t>
      </w:r>
    </w:p>
    <w:p w14:paraId="32B3D0A0">
      <w:pPr>
        <w:pStyle w:val="3"/>
        <w:widowControl/>
      </w:pPr>
      <w:r>
        <w:t>（二）产教融合专项课题</w:t>
      </w:r>
    </w:p>
    <w:p w14:paraId="1CD58D18">
      <w:pPr>
        <w:pStyle w:val="4"/>
        <w:widowControl/>
        <w:rPr>
          <w:rFonts w:ascii="Times New Roman" w:hAnsi="Times New Roman" w:eastAsia="仿宋_GB2312" w:cs="仿宋_GB2312"/>
          <w:sz w:val="32"/>
          <w:szCs w:val="32"/>
        </w:rPr>
      </w:pPr>
      <w:r>
        <w:rPr>
          <w:rFonts w:ascii="Times New Roman" w:hAnsi="Times New Roman" w:eastAsia="仿宋_GB2312" w:cs="仿宋_GB2312"/>
          <w:sz w:val="32"/>
          <w:szCs w:val="32"/>
        </w:rPr>
        <w:t>30.校企合作人才培养模式研究</w:t>
      </w:r>
    </w:p>
    <w:p w14:paraId="5BACE10B">
      <w:pPr>
        <w:pStyle w:val="4"/>
        <w:widowControl/>
        <w:rPr>
          <w:rFonts w:ascii="Times New Roman" w:hAnsi="Times New Roman" w:eastAsia="仿宋_GB2312" w:cs="仿宋_GB2312"/>
          <w:sz w:val="32"/>
          <w:szCs w:val="32"/>
        </w:rPr>
      </w:pPr>
      <w:r>
        <w:rPr>
          <w:rFonts w:ascii="Times New Roman" w:hAnsi="Times New Roman" w:eastAsia="仿宋_GB2312" w:cs="仿宋_GB2312"/>
          <w:sz w:val="32"/>
          <w:szCs w:val="32"/>
        </w:rPr>
        <w:t>31.校企合作背景下科研模式研究</w:t>
      </w:r>
    </w:p>
    <w:p w14:paraId="3B3F6CD2">
      <w:pPr>
        <w:pStyle w:val="4"/>
        <w:widowControl/>
        <w:rPr>
          <w:rFonts w:ascii="Times New Roman" w:hAnsi="Times New Roman" w:eastAsia="仿宋_GB2312" w:cs="仿宋_GB2312"/>
          <w:sz w:val="32"/>
          <w:szCs w:val="32"/>
        </w:rPr>
      </w:pPr>
      <w:r>
        <w:rPr>
          <w:rFonts w:ascii="Times New Roman" w:hAnsi="Times New Roman" w:eastAsia="仿宋_GB2312" w:cs="仿宋_GB2312"/>
          <w:sz w:val="32"/>
          <w:szCs w:val="32"/>
        </w:rPr>
        <w:t>32.人工智能赋能高校教育教学的场景构建与效能评估</w:t>
      </w:r>
    </w:p>
    <w:p w14:paraId="6F5446F8">
      <w:pPr>
        <w:pStyle w:val="4"/>
        <w:widowControl/>
        <w:rPr>
          <w:rFonts w:ascii="Times New Roman" w:hAnsi="Times New Roman" w:eastAsia="仿宋_GB2312" w:cs="仿宋_GB2312"/>
          <w:sz w:val="32"/>
          <w:szCs w:val="32"/>
        </w:rPr>
      </w:pPr>
      <w:r>
        <w:rPr>
          <w:rFonts w:ascii="Times New Roman" w:hAnsi="Times New Roman" w:eastAsia="仿宋_GB2312" w:cs="仿宋_GB2312"/>
          <w:sz w:val="32"/>
          <w:szCs w:val="32"/>
        </w:rPr>
        <w:t>33.产教融合共同体建设背景下“五金”协同育人机制研究</w:t>
      </w:r>
    </w:p>
    <w:p w14:paraId="56319D25">
      <w:pPr>
        <w:pStyle w:val="4"/>
        <w:widowControl/>
        <w:rPr>
          <w:rFonts w:ascii="Times New Roman" w:hAnsi="Times New Roman" w:eastAsia="仿宋_GB2312" w:cs="仿宋_GB2312"/>
          <w:sz w:val="32"/>
          <w:szCs w:val="32"/>
        </w:rPr>
      </w:pPr>
      <w:r>
        <w:rPr>
          <w:rFonts w:ascii="Times New Roman" w:hAnsi="Times New Roman" w:eastAsia="仿宋_GB2312" w:cs="仿宋_GB2312"/>
          <w:sz w:val="32"/>
          <w:szCs w:val="32"/>
        </w:rPr>
        <w:t>34.现代产业学院治理结构优化与效能评价研究</w:t>
      </w:r>
    </w:p>
    <w:p w14:paraId="6C398295">
      <w:pPr>
        <w:pStyle w:val="4"/>
        <w:widowControl/>
        <w:rPr>
          <w:rFonts w:ascii="Times New Roman" w:hAnsi="Times New Roman" w:eastAsia="仿宋_GB2312" w:cs="仿宋_GB2312"/>
          <w:sz w:val="32"/>
          <w:szCs w:val="32"/>
        </w:rPr>
      </w:pPr>
      <w:r>
        <w:rPr>
          <w:rFonts w:ascii="Times New Roman" w:hAnsi="Times New Roman" w:eastAsia="仿宋_GB2312" w:cs="仿宋_GB2312"/>
          <w:sz w:val="32"/>
          <w:szCs w:val="32"/>
        </w:rPr>
        <w:t>35.产教融合背景下高校实践教学体系重构与质量保障研究</w:t>
      </w:r>
    </w:p>
    <w:p w14:paraId="46BE015A">
      <w:pPr>
        <w:pStyle w:val="4"/>
        <w:widowControl/>
        <w:rPr>
          <w:rFonts w:ascii="Times New Roman" w:hAnsi="Times New Roman" w:eastAsia="仿宋_GB2312" w:cs="仿宋_GB2312"/>
          <w:sz w:val="32"/>
          <w:szCs w:val="32"/>
        </w:rPr>
      </w:pPr>
      <w:r>
        <w:rPr>
          <w:rFonts w:ascii="Times New Roman" w:hAnsi="Times New Roman" w:eastAsia="仿宋_GB2312" w:cs="仿宋_GB2312"/>
          <w:sz w:val="32"/>
          <w:szCs w:val="32"/>
        </w:rPr>
        <w:t>36.企业实质性参与产教融合的利益机制与激励政策研究</w:t>
      </w:r>
    </w:p>
    <w:p w14:paraId="06EBF104">
      <w:pPr>
        <w:pStyle w:val="4"/>
        <w:widowControl/>
        <w:rPr>
          <w:rFonts w:ascii="Times New Roman" w:hAnsi="Times New Roman" w:eastAsia="仿宋_GB2312" w:cs="仿宋_GB2312"/>
          <w:sz w:val="32"/>
          <w:szCs w:val="32"/>
        </w:rPr>
      </w:pPr>
      <w:r>
        <w:rPr>
          <w:rFonts w:ascii="Times New Roman" w:hAnsi="Times New Roman" w:eastAsia="仿宋_GB2312" w:cs="仿宋_GB2312"/>
          <w:sz w:val="32"/>
          <w:szCs w:val="32"/>
        </w:rPr>
        <w:t>37.产教融合视域下高校人才培养与产业需求适配度研究</w:t>
      </w:r>
    </w:p>
    <w:p w14:paraId="64FAF4FF">
      <w:pPr>
        <w:pStyle w:val="4"/>
        <w:widowControl/>
        <w:rPr>
          <w:rFonts w:ascii="Times New Roman" w:hAnsi="Times New Roman" w:eastAsia="仿宋_GB2312" w:cs="仿宋_GB2312"/>
          <w:sz w:val="32"/>
          <w:szCs w:val="32"/>
        </w:rPr>
      </w:pPr>
      <w:r>
        <w:rPr>
          <w:rFonts w:ascii="Times New Roman" w:hAnsi="Times New Roman" w:eastAsia="仿宋_GB2312" w:cs="仿宋_GB2312"/>
          <w:sz w:val="32"/>
          <w:szCs w:val="32"/>
        </w:rPr>
        <w:t>38.产教融合型课程开发与教学资源共建共享机制研究</w:t>
      </w:r>
    </w:p>
    <w:p w14:paraId="62C086CD">
      <w:pPr>
        <w:pStyle w:val="4"/>
        <w:widowControl/>
        <w:rPr>
          <w:rFonts w:ascii="Times New Roman" w:hAnsi="Times New Roman" w:eastAsia="仿宋_GB2312" w:cs="仿宋_GB2312"/>
          <w:sz w:val="32"/>
          <w:szCs w:val="32"/>
        </w:rPr>
      </w:pPr>
      <w:r>
        <w:rPr>
          <w:rFonts w:ascii="Times New Roman" w:hAnsi="Times New Roman" w:eastAsia="仿宋_GB2312" w:cs="仿宋_GB2312"/>
          <w:sz w:val="32"/>
          <w:szCs w:val="32"/>
        </w:rPr>
        <w:t>39.产教融合背景下高校教师工程实践能力提升路径研究</w:t>
      </w:r>
    </w:p>
    <w:p w14:paraId="772317DE">
      <w:pPr>
        <w:pStyle w:val="4"/>
        <w:widowControl/>
        <w:rPr>
          <w:rFonts w:ascii="Times New Roman" w:hAnsi="Times New Roman" w:eastAsia="仿宋_GB2312" w:cs="仿宋_GB2312"/>
          <w:sz w:val="32"/>
          <w:szCs w:val="32"/>
        </w:rPr>
      </w:pPr>
      <w:r>
        <w:rPr>
          <w:rFonts w:ascii="Times New Roman" w:hAnsi="Times New Roman" w:eastAsia="仿宋_GB2312" w:cs="仿宋_GB2312"/>
          <w:sz w:val="32"/>
          <w:szCs w:val="32"/>
        </w:rPr>
        <w:t>40.产教融合项目成果转化与区域经济协同发展研究</w:t>
      </w:r>
    </w:p>
    <w:p w14:paraId="50681804">
      <w:pPr>
        <w:pStyle w:val="4"/>
        <w:widowControl/>
        <w:rPr>
          <w:rFonts w:ascii="Times New Roman" w:hAnsi="Times New Roman" w:eastAsia="仿宋_GB2312" w:cs="仿宋_GB2312"/>
          <w:sz w:val="32"/>
          <w:szCs w:val="32"/>
        </w:rPr>
      </w:pPr>
      <w:r>
        <w:rPr>
          <w:rFonts w:ascii="Times New Roman" w:hAnsi="Times New Roman" w:eastAsia="仿宋_GB2312" w:cs="仿宋_GB2312"/>
          <w:sz w:val="32"/>
          <w:szCs w:val="32"/>
        </w:rPr>
        <w:t>41.产教融合效能评价指标体系构建与应用研究</w:t>
      </w:r>
    </w:p>
    <w:p w14:paraId="5092B953">
      <w:pPr>
        <w:pStyle w:val="4"/>
        <w:widowControl/>
        <w:rPr>
          <w:rFonts w:ascii="Times New Roman" w:hAnsi="Times New Roman" w:eastAsia="仿宋_GB2312" w:cs="仿宋_GB2312"/>
          <w:sz w:val="32"/>
          <w:szCs w:val="32"/>
        </w:rPr>
      </w:pPr>
      <w:r>
        <w:rPr>
          <w:rFonts w:ascii="Times New Roman" w:hAnsi="Times New Roman" w:eastAsia="仿宋_GB2312" w:cs="仿宋_GB2312"/>
          <w:sz w:val="32"/>
          <w:szCs w:val="32"/>
        </w:rPr>
        <w:t>42.产教融合背景下“双师型”教师队伍建设研究</w:t>
      </w:r>
    </w:p>
    <w:p w14:paraId="210514F8">
      <w:pPr>
        <w:pStyle w:val="2"/>
        <w:widowControl/>
      </w:pPr>
      <w:r>
        <w:rPr>
          <w:rFonts w:hint="eastAsia"/>
          <w:lang w:val="en-US" w:eastAsia="zh-CN"/>
        </w:rPr>
        <w:t>二</w:t>
      </w:r>
      <w:r>
        <w:t>、学会共同体课题</w:t>
      </w:r>
    </w:p>
    <w:p w14:paraId="0BE732EF">
      <w:pPr>
        <w:pStyle w:val="3"/>
        <w:widowControl/>
      </w:pPr>
      <w:r>
        <w:t>（一）共同体专项</w:t>
      </w:r>
    </w:p>
    <w:p w14:paraId="75C268B7">
      <w:pPr>
        <w:pStyle w:val="4"/>
        <w:widowControl/>
        <w:rPr>
          <w:rFonts w:ascii="Times New Roman" w:hAnsi="Times New Roman" w:eastAsia="仿宋_GB2312" w:cs="仿宋_GB2312"/>
          <w:sz w:val="32"/>
          <w:szCs w:val="32"/>
        </w:rPr>
      </w:pPr>
      <w:r>
        <w:rPr>
          <w:rFonts w:ascii="Times New Roman" w:hAnsi="Times New Roman" w:eastAsia="仿宋_GB2312" w:cs="仿宋_GB2312"/>
          <w:sz w:val="32"/>
          <w:szCs w:val="32"/>
        </w:rPr>
        <w:t>43.人工智能赋能高校基层教学组织转型研究</w:t>
      </w:r>
    </w:p>
    <w:p w14:paraId="4F321D79">
      <w:pPr>
        <w:pStyle w:val="4"/>
        <w:widowControl/>
        <w:rPr>
          <w:rFonts w:ascii="Times New Roman" w:hAnsi="Times New Roman" w:eastAsia="仿宋_GB2312" w:cs="仿宋_GB2312"/>
          <w:sz w:val="32"/>
          <w:szCs w:val="32"/>
        </w:rPr>
      </w:pPr>
      <w:r>
        <w:rPr>
          <w:rFonts w:ascii="Times New Roman" w:hAnsi="Times New Roman" w:eastAsia="仿宋_GB2312" w:cs="仿宋_GB2312"/>
          <w:sz w:val="32"/>
          <w:szCs w:val="32"/>
        </w:rPr>
        <w:t>44.高校“人工智能＋X”复合型人才培养模式研究</w:t>
      </w:r>
    </w:p>
    <w:p w14:paraId="15AFEEA2">
      <w:pPr>
        <w:pStyle w:val="4"/>
        <w:widowControl/>
        <w:rPr>
          <w:rFonts w:ascii="Times New Roman" w:hAnsi="Times New Roman" w:eastAsia="仿宋_GB2312" w:cs="仿宋_GB2312"/>
          <w:sz w:val="32"/>
          <w:szCs w:val="32"/>
        </w:rPr>
      </w:pPr>
      <w:r>
        <w:rPr>
          <w:rFonts w:ascii="Times New Roman" w:hAnsi="Times New Roman" w:eastAsia="仿宋_GB2312" w:cs="仿宋_GB2312"/>
          <w:sz w:val="32"/>
          <w:szCs w:val="32"/>
        </w:rPr>
        <w:t>45.基于知识图谱的课程体系重构与教学改革研究</w:t>
      </w:r>
    </w:p>
    <w:p w14:paraId="5A139D29">
      <w:pPr>
        <w:pStyle w:val="4"/>
        <w:widowControl/>
        <w:rPr>
          <w:rFonts w:ascii="Times New Roman" w:hAnsi="Times New Roman" w:eastAsia="仿宋_GB2312" w:cs="仿宋_GB2312"/>
          <w:sz w:val="32"/>
          <w:szCs w:val="32"/>
        </w:rPr>
      </w:pPr>
      <w:r>
        <w:rPr>
          <w:rFonts w:ascii="Times New Roman" w:hAnsi="Times New Roman" w:eastAsia="仿宋_GB2312" w:cs="仿宋_GB2312"/>
          <w:sz w:val="32"/>
          <w:szCs w:val="32"/>
        </w:rPr>
        <w:t>46.高校数字化教学资源共建共享机制研究</w:t>
      </w:r>
    </w:p>
    <w:p w14:paraId="1BCCB752">
      <w:pPr>
        <w:pStyle w:val="4"/>
        <w:widowControl/>
        <w:rPr>
          <w:rFonts w:ascii="Times New Roman" w:hAnsi="Times New Roman" w:eastAsia="仿宋_GB2312" w:cs="仿宋_GB2312"/>
          <w:sz w:val="32"/>
          <w:szCs w:val="32"/>
        </w:rPr>
      </w:pPr>
      <w:r>
        <w:rPr>
          <w:rFonts w:ascii="Times New Roman" w:hAnsi="Times New Roman" w:eastAsia="仿宋_GB2312" w:cs="仿宋_GB2312"/>
          <w:sz w:val="32"/>
          <w:szCs w:val="32"/>
        </w:rPr>
        <w:t>47.高校教师数字素养提升路径与支持体系研究</w:t>
      </w:r>
    </w:p>
    <w:p w14:paraId="394B1EC2">
      <w:pPr>
        <w:pStyle w:val="4"/>
        <w:widowControl/>
        <w:rPr>
          <w:rFonts w:ascii="Times New Roman" w:hAnsi="Times New Roman" w:eastAsia="仿宋_GB2312" w:cs="仿宋_GB2312"/>
          <w:sz w:val="32"/>
          <w:szCs w:val="32"/>
        </w:rPr>
      </w:pPr>
      <w:r>
        <w:rPr>
          <w:rFonts w:ascii="Times New Roman" w:hAnsi="Times New Roman" w:eastAsia="仿宋_GB2312" w:cs="仿宋_GB2312"/>
          <w:sz w:val="32"/>
          <w:szCs w:val="32"/>
        </w:rPr>
        <w:t>48.高校管理人员数字素养与治理能力提升研究</w:t>
      </w:r>
    </w:p>
    <w:p w14:paraId="3A21AA69">
      <w:pPr>
        <w:pStyle w:val="4"/>
        <w:widowControl/>
        <w:rPr>
          <w:rFonts w:ascii="Times New Roman" w:hAnsi="Times New Roman" w:eastAsia="仿宋_GB2312" w:cs="仿宋_GB2312"/>
          <w:sz w:val="32"/>
          <w:szCs w:val="32"/>
        </w:rPr>
      </w:pPr>
      <w:r>
        <w:rPr>
          <w:rFonts w:ascii="Times New Roman" w:hAnsi="Times New Roman" w:eastAsia="仿宋_GB2312" w:cs="仿宋_GB2312"/>
          <w:sz w:val="32"/>
          <w:szCs w:val="32"/>
        </w:rPr>
        <w:t>49.新时代大学生学习动机与行为特征研究</w:t>
      </w:r>
    </w:p>
    <w:p w14:paraId="5880C543">
      <w:pPr>
        <w:pStyle w:val="4"/>
        <w:widowControl/>
        <w:rPr>
          <w:rFonts w:ascii="Times New Roman" w:hAnsi="Times New Roman" w:eastAsia="仿宋_GB2312" w:cs="仿宋_GB2312"/>
          <w:sz w:val="32"/>
          <w:szCs w:val="32"/>
        </w:rPr>
      </w:pPr>
      <w:r>
        <w:rPr>
          <w:rFonts w:ascii="Times New Roman" w:hAnsi="Times New Roman" w:eastAsia="仿宋_GB2312" w:cs="仿宋_GB2312"/>
          <w:sz w:val="32"/>
          <w:szCs w:val="32"/>
        </w:rPr>
        <w:t>50.大学生“慢就业”现象成因与干预策略研究</w:t>
      </w:r>
    </w:p>
    <w:p w14:paraId="6EED6B72">
      <w:pPr>
        <w:pStyle w:val="4"/>
        <w:widowControl/>
        <w:rPr>
          <w:rFonts w:ascii="Times New Roman" w:hAnsi="Times New Roman" w:eastAsia="仿宋_GB2312" w:cs="仿宋_GB2312"/>
          <w:sz w:val="32"/>
          <w:szCs w:val="32"/>
        </w:rPr>
      </w:pPr>
      <w:r>
        <w:rPr>
          <w:rFonts w:ascii="Times New Roman" w:hAnsi="Times New Roman" w:eastAsia="仿宋_GB2312" w:cs="仿宋_GB2312"/>
          <w:sz w:val="32"/>
          <w:szCs w:val="32"/>
        </w:rPr>
        <w:t>51.高校学生心理健康动态监测与精准干预研究</w:t>
      </w:r>
    </w:p>
    <w:p w14:paraId="598E71FA">
      <w:pPr>
        <w:pStyle w:val="4"/>
        <w:widowControl/>
        <w:rPr>
          <w:rFonts w:ascii="Times New Roman" w:hAnsi="Times New Roman" w:eastAsia="仿宋_GB2312" w:cs="仿宋_GB2312"/>
          <w:sz w:val="32"/>
          <w:szCs w:val="32"/>
        </w:rPr>
      </w:pPr>
      <w:r>
        <w:rPr>
          <w:rFonts w:ascii="Times New Roman" w:hAnsi="Times New Roman" w:eastAsia="仿宋_GB2312" w:cs="仿宋_GB2312"/>
          <w:sz w:val="32"/>
          <w:szCs w:val="32"/>
        </w:rPr>
        <w:t>52.书院制模式下跨学科人才培养路径研究</w:t>
      </w:r>
    </w:p>
    <w:p w14:paraId="15F88542">
      <w:pPr>
        <w:pStyle w:val="4"/>
        <w:widowControl/>
        <w:rPr>
          <w:rFonts w:ascii="Times New Roman" w:hAnsi="Times New Roman" w:eastAsia="仿宋_GB2312" w:cs="仿宋_GB2312"/>
          <w:sz w:val="32"/>
          <w:szCs w:val="32"/>
        </w:rPr>
      </w:pPr>
      <w:r>
        <w:rPr>
          <w:rFonts w:ascii="Times New Roman" w:hAnsi="Times New Roman" w:eastAsia="仿宋_GB2312" w:cs="仿宋_GB2312"/>
          <w:sz w:val="32"/>
          <w:szCs w:val="32"/>
        </w:rPr>
        <w:t>53.高校创新创业教育生态系统构建与效能研究</w:t>
      </w:r>
    </w:p>
    <w:p w14:paraId="4034CF2D">
      <w:pPr>
        <w:pStyle w:val="4"/>
        <w:widowControl/>
        <w:rPr>
          <w:rFonts w:ascii="Times New Roman" w:hAnsi="Times New Roman" w:eastAsia="仿宋_GB2312" w:cs="仿宋_GB2312"/>
          <w:sz w:val="32"/>
          <w:szCs w:val="32"/>
        </w:rPr>
      </w:pPr>
      <w:r>
        <w:rPr>
          <w:rFonts w:ascii="Times New Roman" w:hAnsi="Times New Roman" w:eastAsia="仿宋_GB2312" w:cs="仿宋_GB2312"/>
          <w:sz w:val="32"/>
          <w:szCs w:val="32"/>
        </w:rPr>
        <w:t>54.高校劳动教育课程体系建设与实践路径研究</w:t>
      </w:r>
    </w:p>
    <w:p w14:paraId="468F90CA">
      <w:pPr>
        <w:pStyle w:val="4"/>
        <w:widowControl/>
        <w:rPr>
          <w:rFonts w:ascii="Times New Roman" w:hAnsi="Times New Roman" w:eastAsia="仿宋_GB2312" w:cs="仿宋_GB2312"/>
          <w:sz w:val="32"/>
          <w:szCs w:val="32"/>
        </w:rPr>
      </w:pPr>
      <w:r>
        <w:rPr>
          <w:rFonts w:ascii="Times New Roman" w:hAnsi="Times New Roman" w:eastAsia="仿宋_GB2312" w:cs="仿宋_GB2312"/>
          <w:sz w:val="32"/>
          <w:szCs w:val="32"/>
        </w:rPr>
        <w:t>55.高校美育课程体系与育人机制研究</w:t>
      </w:r>
    </w:p>
    <w:p w14:paraId="48A48373">
      <w:pPr>
        <w:pStyle w:val="4"/>
        <w:widowControl/>
        <w:rPr>
          <w:rFonts w:ascii="Times New Roman" w:hAnsi="Times New Roman" w:eastAsia="仿宋_GB2312" w:cs="仿宋_GB2312"/>
          <w:sz w:val="32"/>
          <w:szCs w:val="32"/>
        </w:rPr>
      </w:pPr>
      <w:r>
        <w:rPr>
          <w:rFonts w:ascii="Times New Roman" w:hAnsi="Times New Roman" w:eastAsia="仿宋_GB2312" w:cs="仿宋_GB2312"/>
          <w:sz w:val="32"/>
          <w:szCs w:val="32"/>
        </w:rPr>
        <w:t>56.高校体育与健康教育融合路径研究</w:t>
      </w:r>
    </w:p>
    <w:p w14:paraId="275962C1">
      <w:pPr>
        <w:pStyle w:val="4"/>
        <w:widowControl/>
        <w:rPr>
          <w:rFonts w:ascii="Times New Roman" w:hAnsi="Times New Roman" w:eastAsia="仿宋_GB2312" w:cs="仿宋_GB2312"/>
          <w:sz w:val="32"/>
          <w:szCs w:val="32"/>
        </w:rPr>
      </w:pPr>
      <w:r>
        <w:rPr>
          <w:rFonts w:ascii="Times New Roman" w:hAnsi="Times New Roman" w:eastAsia="仿宋_GB2312" w:cs="仿宋_GB2312"/>
          <w:sz w:val="32"/>
          <w:szCs w:val="32"/>
        </w:rPr>
        <w:t>57.高校课程考核评价改革与学习效果研究</w:t>
      </w:r>
    </w:p>
    <w:p w14:paraId="41109F83">
      <w:pPr>
        <w:pStyle w:val="4"/>
        <w:widowControl/>
        <w:rPr>
          <w:rFonts w:ascii="Times New Roman" w:hAnsi="Times New Roman" w:eastAsia="仿宋_GB2312" w:cs="仿宋_GB2312"/>
          <w:sz w:val="32"/>
          <w:szCs w:val="32"/>
        </w:rPr>
      </w:pPr>
      <w:r>
        <w:rPr>
          <w:rFonts w:ascii="Times New Roman" w:hAnsi="Times New Roman" w:eastAsia="仿宋_GB2312" w:cs="仿宋_GB2312"/>
          <w:sz w:val="32"/>
          <w:szCs w:val="32"/>
        </w:rPr>
        <w:t>58.高校教师教学发展中心建设与运行机制研究</w:t>
      </w:r>
    </w:p>
    <w:p w14:paraId="79875112">
      <w:pPr>
        <w:pStyle w:val="4"/>
        <w:widowControl/>
        <w:rPr>
          <w:rFonts w:ascii="Times New Roman" w:hAnsi="Times New Roman" w:eastAsia="仿宋_GB2312" w:cs="仿宋_GB2312"/>
          <w:sz w:val="32"/>
          <w:szCs w:val="32"/>
        </w:rPr>
      </w:pPr>
      <w:r>
        <w:rPr>
          <w:rFonts w:ascii="Times New Roman" w:hAnsi="Times New Roman" w:eastAsia="仿宋_GB2312" w:cs="仿宋_GB2312"/>
          <w:sz w:val="32"/>
          <w:szCs w:val="32"/>
        </w:rPr>
        <w:t>59.高校青年教师教学能力提升路径研究</w:t>
      </w:r>
    </w:p>
    <w:p w14:paraId="18864687">
      <w:pPr>
        <w:pStyle w:val="4"/>
        <w:widowControl/>
        <w:rPr>
          <w:rFonts w:ascii="Times New Roman" w:hAnsi="Times New Roman" w:eastAsia="仿宋_GB2312" w:cs="仿宋_GB2312"/>
          <w:sz w:val="32"/>
          <w:szCs w:val="32"/>
        </w:rPr>
      </w:pPr>
      <w:r>
        <w:rPr>
          <w:rFonts w:ascii="Times New Roman" w:hAnsi="Times New Roman" w:eastAsia="仿宋_GB2312" w:cs="仿宋_GB2312"/>
          <w:sz w:val="32"/>
          <w:szCs w:val="32"/>
        </w:rPr>
        <w:t>60.高校基层教学组织活力激发机制研究</w:t>
      </w:r>
    </w:p>
    <w:p w14:paraId="02B4F301">
      <w:pPr>
        <w:pStyle w:val="4"/>
        <w:widowControl/>
        <w:rPr>
          <w:rFonts w:ascii="Times New Roman" w:hAnsi="Times New Roman" w:eastAsia="仿宋_GB2312" w:cs="仿宋_GB2312"/>
          <w:sz w:val="32"/>
          <w:szCs w:val="32"/>
        </w:rPr>
      </w:pPr>
      <w:r>
        <w:rPr>
          <w:rFonts w:ascii="Times New Roman" w:hAnsi="Times New Roman" w:eastAsia="仿宋_GB2312" w:cs="仿宋_GB2312"/>
          <w:sz w:val="32"/>
          <w:szCs w:val="32"/>
        </w:rPr>
        <w:t>61.高校教学成果培育与推广应用机制研究</w:t>
      </w:r>
    </w:p>
    <w:p w14:paraId="5EC3473E">
      <w:pPr>
        <w:pStyle w:val="4"/>
        <w:widowControl/>
        <w:rPr>
          <w:rFonts w:ascii="Times New Roman" w:hAnsi="Times New Roman" w:eastAsia="仿宋_GB2312" w:cs="仿宋_GB2312"/>
          <w:sz w:val="32"/>
          <w:szCs w:val="32"/>
        </w:rPr>
      </w:pPr>
      <w:r>
        <w:rPr>
          <w:rFonts w:ascii="Times New Roman" w:hAnsi="Times New Roman" w:eastAsia="仿宋_GB2312" w:cs="仿宋_GB2312"/>
          <w:sz w:val="32"/>
          <w:szCs w:val="32"/>
        </w:rPr>
        <w:t>62.高校教学质量保障体系建设与持续改进研究</w:t>
      </w:r>
    </w:p>
    <w:p w14:paraId="2DE64E4A">
      <w:pPr>
        <w:pStyle w:val="3"/>
        <w:widowControl/>
      </w:pPr>
      <w:r>
        <w:t>（二）民办高校专项课题</w:t>
      </w:r>
    </w:p>
    <w:p w14:paraId="010E8FE0">
      <w:pPr>
        <w:pStyle w:val="4"/>
        <w:widowControl/>
        <w:rPr>
          <w:rFonts w:ascii="Times New Roman" w:hAnsi="Times New Roman" w:eastAsia="仿宋_GB2312" w:cs="仿宋_GB2312"/>
          <w:sz w:val="32"/>
          <w:szCs w:val="32"/>
        </w:rPr>
      </w:pPr>
      <w:r>
        <w:rPr>
          <w:rFonts w:ascii="Times New Roman" w:hAnsi="Times New Roman" w:eastAsia="仿宋_GB2312" w:cs="仿宋_GB2312"/>
          <w:sz w:val="32"/>
          <w:szCs w:val="32"/>
        </w:rPr>
        <w:t>63.民办高校未来发展研究</w:t>
      </w:r>
    </w:p>
    <w:p w14:paraId="6C01B986">
      <w:pPr>
        <w:pStyle w:val="4"/>
        <w:widowControl/>
        <w:rPr>
          <w:rFonts w:ascii="Times New Roman" w:hAnsi="Times New Roman" w:eastAsia="仿宋_GB2312" w:cs="仿宋_GB2312"/>
          <w:sz w:val="32"/>
          <w:szCs w:val="32"/>
        </w:rPr>
      </w:pPr>
      <w:r>
        <w:rPr>
          <w:rFonts w:ascii="Times New Roman" w:hAnsi="Times New Roman" w:eastAsia="仿宋_GB2312" w:cs="仿宋_GB2312"/>
          <w:sz w:val="32"/>
          <w:szCs w:val="32"/>
        </w:rPr>
        <w:t>64.民办高校与公办高校差异化发展路径研究</w:t>
      </w:r>
    </w:p>
    <w:p w14:paraId="33E79529">
      <w:pPr>
        <w:pStyle w:val="4"/>
        <w:widowControl/>
        <w:rPr>
          <w:rFonts w:ascii="Times New Roman" w:hAnsi="Times New Roman" w:eastAsia="仿宋_GB2312" w:cs="仿宋_GB2312"/>
          <w:sz w:val="32"/>
          <w:szCs w:val="32"/>
        </w:rPr>
      </w:pPr>
      <w:r>
        <w:rPr>
          <w:rFonts w:ascii="Times New Roman" w:hAnsi="Times New Roman" w:eastAsia="仿宋_GB2312" w:cs="仿宋_GB2312"/>
          <w:sz w:val="32"/>
          <w:szCs w:val="32"/>
        </w:rPr>
        <w:t>65.民办高校特色发展与分类评价研究</w:t>
      </w:r>
    </w:p>
    <w:p w14:paraId="486DEE32">
      <w:pPr>
        <w:pStyle w:val="4"/>
        <w:widowControl/>
        <w:rPr>
          <w:rFonts w:ascii="Times New Roman" w:hAnsi="Times New Roman" w:eastAsia="仿宋_GB2312" w:cs="仿宋_GB2312"/>
          <w:sz w:val="32"/>
          <w:szCs w:val="32"/>
        </w:rPr>
      </w:pPr>
      <w:r>
        <w:rPr>
          <w:rFonts w:ascii="Times New Roman" w:hAnsi="Times New Roman" w:eastAsia="仿宋_GB2312" w:cs="仿宋_GB2312"/>
          <w:sz w:val="32"/>
          <w:szCs w:val="32"/>
        </w:rPr>
        <w:t>66.面向新质生产力的民办高校学科专业集群建设研究</w:t>
      </w:r>
    </w:p>
    <w:p w14:paraId="01F38F3D">
      <w:pPr>
        <w:pStyle w:val="4"/>
        <w:widowControl/>
        <w:rPr>
          <w:rFonts w:ascii="Times New Roman" w:hAnsi="Times New Roman" w:eastAsia="仿宋_GB2312" w:cs="仿宋_GB2312"/>
          <w:sz w:val="32"/>
          <w:szCs w:val="32"/>
        </w:rPr>
      </w:pPr>
      <w:r>
        <w:rPr>
          <w:rFonts w:ascii="Times New Roman" w:hAnsi="Times New Roman" w:eastAsia="仿宋_GB2312" w:cs="仿宋_GB2312"/>
          <w:sz w:val="32"/>
          <w:szCs w:val="32"/>
        </w:rPr>
        <w:t>67.民办高校产教融合机制创新与效能研究</w:t>
      </w:r>
    </w:p>
    <w:p w14:paraId="3D4B941A">
      <w:pPr>
        <w:pStyle w:val="4"/>
        <w:widowControl/>
        <w:rPr>
          <w:rFonts w:ascii="Times New Roman" w:hAnsi="Times New Roman" w:eastAsia="仿宋_GB2312" w:cs="仿宋_GB2312"/>
          <w:sz w:val="32"/>
          <w:szCs w:val="32"/>
        </w:rPr>
      </w:pPr>
      <w:r>
        <w:rPr>
          <w:rFonts w:ascii="Times New Roman" w:hAnsi="Times New Roman" w:eastAsia="仿宋_GB2312" w:cs="仿宋_GB2312"/>
          <w:sz w:val="32"/>
          <w:szCs w:val="32"/>
        </w:rPr>
        <w:t>68.民办高校教师发展支持体系研究</w:t>
      </w:r>
    </w:p>
    <w:p w14:paraId="60365D39">
      <w:pPr>
        <w:pStyle w:val="4"/>
        <w:widowControl/>
        <w:rPr>
          <w:rFonts w:ascii="Times New Roman" w:hAnsi="Times New Roman" w:eastAsia="仿宋_GB2312" w:cs="仿宋_GB2312"/>
          <w:sz w:val="32"/>
          <w:szCs w:val="32"/>
        </w:rPr>
      </w:pPr>
      <w:r>
        <w:rPr>
          <w:rFonts w:ascii="Times New Roman" w:hAnsi="Times New Roman" w:eastAsia="仿宋_GB2312" w:cs="仿宋_GB2312"/>
          <w:sz w:val="32"/>
          <w:szCs w:val="32"/>
        </w:rPr>
        <w:t>69.民办高校应对办学风险的预警机制研究</w:t>
      </w:r>
    </w:p>
    <w:p w14:paraId="40ABC6C6">
      <w:pPr>
        <w:pStyle w:val="4"/>
        <w:widowControl/>
        <w:rPr>
          <w:rFonts w:ascii="Times New Roman" w:hAnsi="Times New Roman" w:eastAsia="仿宋_GB2312" w:cs="仿宋_GB2312"/>
          <w:sz w:val="32"/>
          <w:szCs w:val="32"/>
        </w:rPr>
      </w:pPr>
      <w:r>
        <w:rPr>
          <w:rFonts w:ascii="Times New Roman" w:hAnsi="Times New Roman" w:eastAsia="仿宋_GB2312" w:cs="仿宋_GB2312"/>
          <w:sz w:val="32"/>
          <w:szCs w:val="32"/>
        </w:rPr>
        <w:t>70.民办高校数字化转型路径与实践研究</w:t>
      </w:r>
    </w:p>
    <w:p w14:paraId="711A477F">
      <w:pPr>
        <w:pStyle w:val="4"/>
        <w:widowControl/>
        <w:rPr>
          <w:rFonts w:ascii="Times New Roman" w:hAnsi="Times New Roman" w:eastAsia="仿宋_GB2312" w:cs="仿宋_GB2312"/>
          <w:sz w:val="32"/>
          <w:szCs w:val="32"/>
        </w:rPr>
      </w:pPr>
      <w:r>
        <w:rPr>
          <w:rFonts w:ascii="Times New Roman" w:hAnsi="Times New Roman" w:eastAsia="仿宋_GB2312" w:cs="仿宋_GB2312"/>
          <w:sz w:val="32"/>
          <w:szCs w:val="32"/>
        </w:rPr>
        <w:t>71.民办高校应用型人才培养模式创新研究</w:t>
      </w:r>
    </w:p>
    <w:p w14:paraId="4C089D54">
      <w:pPr>
        <w:pStyle w:val="4"/>
        <w:widowControl/>
        <w:rPr>
          <w:rFonts w:ascii="Times New Roman" w:hAnsi="Times New Roman" w:eastAsia="仿宋_GB2312" w:cs="仿宋_GB2312"/>
          <w:sz w:val="32"/>
          <w:szCs w:val="32"/>
        </w:rPr>
      </w:pPr>
      <w:r>
        <w:rPr>
          <w:rFonts w:ascii="Times New Roman" w:hAnsi="Times New Roman" w:eastAsia="仿宋_GB2312" w:cs="仿宋_GB2312"/>
          <w:sz w:val="32"/>
          <w:szCs w:val="32"/>
        </w:rPr>
        <w:t>72.民办高校治理结构与办学活力研究</w:t>
      </w:r>
    </w:p>
    <w:p w14:paraId="501671C8">
      <w:pPr>
        <w:pStyle w:val="4"/>
        <w:widowControl/>
        <w:rPr>
          <w:rFonts w:ascii="Times New Roman" w:hAnsi="Times New Roman" w:eastAsia="仿宋_GB2312" w:cs="仿宋_GB2312"/>
          <w:sz w:val="32"/>
          <w:szCs w:val="32"/>
        </w:rPr>
      </w:pPr>
      <w:r>
        <w:rPr>
          <w:rFonts w:ascii="Times New Roman" w:hAnsi="Times New Roman" w:eastAsia="仿宋_GB2312" w:cs="仿宋_GB2312"/>
          <w:sz w:val="32"/>
          <w:szCs w:val="32"/>
        </w:rPr>
        <w:t>73.民办高校教学质量保障体系建设研究</w:t>
      </w:r>
    </w:p>
    <w:p w14:paraId="6C20AF0A">
      <w:pPr>
        <w:pStyle w:val="4"/>
        <w:widowControl/>
        <w:rPr>
          <w:rFonts w:ascii="Times New Roman" w:hAnsi="Times New Roman" w:eastAsia="仿宋_GB2312" w:cs="仿宋_GB2312"/>
          <w:sz w:val="32"/>
          <w:szCs w:val="32"/>
        </w:rPr>
      </w:pPr>
      <w:r>
        <w:rPr>
          <w:rFonts w:ascii="Times New Roman" w:hAnsi="Times New Roman" w:eastAsia="仿宋_GB2312" w:cs="仿宋_GB2312"/>
          <w:sz w:val="32"/>
          <w:szCs w:val="32"/>
        </w:rPr>
        <w:t>74.民办高校学生发展支持体系研究</w:t>
      </w:r>
    </w:p>
    <w:p w14:paraId="6A2E3392">
      <w:pPr>
        <w:pStyle w:val="4"/>
        <w:widowControl/>
        <w:rPr>
          <w:rFonts w:ascii="Times New Roman" w:hAnsi="Times New Roman" w:eastAsia="仿宋_GB2312" w:cs="仿宋_GB2312"/>
          <w:sz w:val="32"/>
          <w:szCs w:val="32"/>
        </w:rPr>
      </w:pPr>
      <w:r>
        <w:rPr>
          <w:rFonts w:ascii="Times New Roman" w:hAnsi="Times New Roman" w:eastAsia="仿宋_GB2312" w:cs="仿宋_GB2312"/>
          <w:sz w:val="32"/>
          <w:szCs w:val="32"/>
        </w:rPr>
        <w:t>75.民办高校品牌建设与社会影响力提升研究</w:t>
      </w:r>
    </w:p>
    <w:p w14:paraId="25FD37D2">
      <w:pPr>
        <w:pStyle w:val="3"/>
        <w:widowControl/>
      </w:pPr>
      <w:r>
        <w:t>（三）高职院校专项课题</w:t>
      </w:r>
    </w:p>
    <w:p w14:paraId="792DFFE8">
      <w:pPr>
        <w:pStyle w:val="4"/>
        <w:widowControl/>
        <w:rPr>
          <w:rFonts w:ascii="Times New Roman" w:hAnsi="Times New Roman" w:eastAsia="仿宋_GB2312" w:cs="仿宋_GB2312"/>
          <w:sz w:val="32"/>
          <w:szCs w:val="32"/>
        </w:rPr>
      </w:pPr>
      <w:r>
        <w:rPr>
          <w:rFonts w:ascii="Times New Roman" w:hAnsi="Times New Roman" w:eastAsia="仿宋_GB2312" w:cs="仿宋_GB2312"/>
          <w:sz w:val="32"/>
          <w:szCs w:val="32"/>
        </w:rPr>
        <w:t>76.高职院校与企业的关联度研究</w:t>
      </w:r>
    </w:p>
    <w:p w14:paraId="656C9954">
      <w:pPr>
        <w:pStyle w:val="4"/>
        <w:widowControl/>
        <w:rPr>
          <w:rFonts w:ascii="Times New Roman" w:hAnsi="Times New Roman" w:eastAsia="仿宋_GB2312" w:cs="仿宋_GB2312"/>
          <w:sz w:val="32"/>
          <w:szCs w:val="32"/>
        </w:rPr>
      </w:pPr>
      <w:r>
        <w:rPr>
          <w:rFonts w:ascii="Times New Roman" w:hAnsi="Times New Roman" w:eastAsia="仿宋_GB2312" w:cs="仿宋_GB2312"/>
          <w:sz w:val="32"/>
          <w:szCs w:val="32"/>
        </w:rPr>
        <w:t>77.高职院校专业建设路径研究</w:t>
      </w:r>
    </w:p>
    <w:p w14:paraId="1823507E">
      <w:pPr>
        <w:pStyle w:val="4"/>
        <w:widowControl/>
        <w:rPr>
          <w:rFonts w:ascii="Times New Roman" w:hAnsi="Times New Roman" w:eastAsia="仿宋_GB2312" w:cs="仿宋_GB2312"/>
          <w:sz w:val="32"/>
          <w:szCs w:val="32"/>
        </w:rPr>
      </w:pPr>
      <w:r>
        <w:rPr>
          <w:rFonts w:ascii="Times New Roman" w:hAnsi="Times New Roman" w:eastAsia="仿宋_GB2312" w:cs="仿宋_GB2312"/>
          <w:sz w:val="32"/>
          <w:szCs w:val="32"/>
        </w:rPr>
        <w:t>78.“新双高”建设背景下高职院校特色发展路径研究</w:t>
      </w:r>
    </w:p>
    <w:p w14:paraId="14092655">
      <w:pPr>
        <w:pStyle w:val="4"/>
        <w:widowControl/>
        <w:rPr>
          <w:rFonts w:ascii="Times New Roman" w:hAnsi="Times New Roman" w:eastAsia="仿宋_GB2312" w:cs="仿宋_GB2312"/>
          <w:sz w:val="32"/>
          <w:szCs w:val="32"/>
        </w:rPr>
      </w:pPr>
      <w:r>
        <w:rPr>
          <w:rFonts w:ascii="Times New Roman" w:hAnsi="Times New Roman" w:eastAsia="仿宋_GB2312" w:cs="仿宋_GB2312"/>
          <w:sz w:val="32"/>
          <w:szCs w:val="32"/>
        </w:rPr>
        <w:t>79.高职院校产教融合共同体建设与运行机制研究</w:t>
      </w:r>
    </w:p>
    <w:p w14:paraId="3BD4BEBE">
      <w:pPr>
        <w:pStyle w:val="4"/>
        <w:widowControl/>
        <w:rPr>
          <w:rFonts w:ascii="Times New Roman" w:hAnsi="Times New Roman" w:eastAsia="仿宋_GB2312" w:cs="仿宋_GB2312"/>
          <w:sz w:val="32"/>
          <w:szCs w:val="32"/>
        </w:rPr>
      </w:pPr>
      <w:r>
        <w:rPr>
          <w:rFonts w:ascii="Times New Roman" w:hAnsi="Times New Roman" w:eastAsia="仿宋_GB2312" w:cs="仿宋_GB2312"/>
          <w:sz w:val="32"/>
          <w:szCs w:val="32"/>
        </w:rPr>
        <w:t>80.高职院校“五金”建设与专业群协同发展研究</w:t>
      </w:r>
    </w:p>
    <w:p w14:paraId="3BA6FEE3">
      <w:pPr>
        <w:pStyle w:val="4"/>
        <w:widowControl/>
        <w:rPr>
          <w:rFonts w:ascii="Times New Roman" w:hAnsi="Times New Roman" w:eastAsia="仿宋_GB2312" w:cs="仿宋_GB2312"/>
          <w:sz w:val="32"/>
          <w:szCs w:val="32"/>
        </w:rPr>
      </w:pPr>
      <w:r>
        <w:rPr>
          <w:rFonts w:ascii="Times New Roman" w:hAnsi="Times New Roman" w:eastAsia="仿宋_GB2312" w:cs="仿宋_GB2312"/>
          <w:sz w:val="32"/>
          <w:szCs w:val="32"/>
        </w:rPr>
        <w:t>81.高职院校数字化治理能力提升研究</w:t>
      </w:r>
    </w:p>
    <w:p w14:paraId="2D7468EB">
      <w:pPr>
        <w:pStyle w:val="4"/>
        <w:widowControl/>
        <w:rPr>
          <w:rFonts w:ascii="Times New Roman" w:hAnsi="Times New Roman" w:eastAsia="仿宋_GB2312" w:cs="仿宋_GB2312"/>
          <w:sz w:val="32"/>
          <w:szCs w:val="32"/>
        </w:rPr>
      </w:pPr>
      <w:r>
        <w:rPr>
          <w:rFonts w:ascii="Times New Roman" w:hAnsi="Times New Roman" w:eastAsia="仿宋_GB2312" w:cs="仿宋_GB2312"/>
          <w:sz w:val="32"/>
          <w:szCs w:val="32"/>
        </w:rPr>
        <w:t>82.高职院校学生技能培养与职业发展研究</w:t>
      </w:r>
    </w:p>
    <w:p w14:paraId="4B8810D2">
      <w:pPr>
        <w:pStyle w:val="4"/>
        <w:widowControl/>
        <w:rPr>
          <w:rFonts w:ascii="Times New Roman" w:hAnsi="Times New Roman" w:eastAsia="仿宋_GB2312" w:cs="仿宋_GB2312"/>
          <w:sz w:val="32"/>
          <w:szCs w:val="32"/>
        </w:rPr>
      </w:pPr>
      <w:r>
        <w:rPr>
          <w:rFonts w:ascii="Times New Roman" w:hAnsi="Times New Roman" w:eastAsia="仿宋_GB2312" w:cs="仿宋_GB2312"/>
          <w:sz w:val="32"/>
          <w:szCs w:val="32"/>
        </w:rPr>
        <w:t>83.高职“双师型”教师企业实践制研究</w:t>
      </w:r>
    </w:p>
    <w:p w14:paraId="55173DBB">
      <w:pPr>
        <w:pStyle w:val="4"/>
        <w:widowControl/>
        <w:rPr>
          <w:rFonts w:ascii="Times New Roman" w:hAnsi="Times New Roman" w:eastAsia="仿宋_GB2312" w:cs="仿宋_GB2312"/>
          <w:sz w:val="32"/>
          <w:szCs w:val="32"/>
        </w:rPr>
      </w:pPr>
      <w:r>
        <w:rPr>
          <w:rFonts w:ascii="Times New Roman" w:hAnsi="Times New Roman" w:eastAsia="仿宋_GB2312" w:cs="仿宋_GB2312"/>
          <w:sz w:val="32"/>
          <w:szCs w:val="32"/>
        </w:rPr>
        <w:t>84.高职社区教育与终身学习服务共同体的构建</w:t>
      </w:r>
    </w:p>
    <w:p w14:paraId="4A030A71">
      <w:pPr>
        <w:pStyle w:val="4"/>
        <w:widowControl/>
        <w:rPr>
          <w:rFonts w:ascii="Times New Roman" w:hAnsi="Times New Roman" w:eastAsia="仿宋_GB2312" w:cs="仿宋_GB2312"/>
          <w:sz w:val="32"/>
          <w:szCs w:val="32"/>
        </w:rPr>
      </w:pPr>
      <w:r>
        <w:rPr>
          <w:rFonts w:ascii="Times New Roman" w:hAnsi="Times New Roman" w:eastAsia="仿宋_GB2312" w:cs="仿宋_GB2312"/>
          <w:sz w:val="32"/>
          <w:szCs w:val="32"/>
        </w:rPr>
        <w:t>85.高职院校实践教学体系建设与效能研究</w:t>
      </w:r>
    </w:p>
    <w:p w14:paraId="2886CD34">
      <w:pPr>
        <w:pStyle w:val="4"/>
        <w:widowControl/>
        <w:rPr>
          <w:rFonts w:ascii="Times New Roman" w:hAnsi="Times New Roman" w:eastAsia="仿宋_GB2312" w:cs="仿宋_GB2312"/>
          <w:sz w:val="32"/>
          <w:szCs w:val="32"/>
        </w:rPr>
      </w:pPr>
      <w:r>
        <w:rPr>
          <w:rFonts w:ascii="Times New Roman" w:hAnsi="Times New Roman" w:eastAsia="仿宋_GB2312" w:cs="仿宋_GB2312"/>
          <w:sz w:val="32"/>
          <w:szCs w:val="32"/>
        </w:rPr>
        <w:t>86.高职院校服务区域产业发展能力研究</w:t>
      </w:r>
    </w:p>
    <w:p w14:paraId="6A6168CA">
      <w:pPr>
        <w:pStyle w:val="4"/>
        <w:widowControl/>
        <w:rPr>
          <w:rFonts w:ascii="Times New Roman" w:hAnsi="Times New Roman" w:eastAsia="仿宋_GB2312" w:cs="仿宋_GB2312"/>
          <w:sz w:val="32"/>
          <w:szCs w:val="32"/>
        </w:rPr>
      </w:pPr>
      <w:r>
        <w:rPr>
          <w:rFonts w:ascii="Times New Roman" w:hAnsi="Times New Roman" w:eastAsia="仿宋_GB2312" w:cs="仿宋_GB2312"/>
          <w:sz w:val="32"/>
          <w:szCs w:val="32"/>
        </w:rPr>
        <w:t>87.高职院校国际化发展路径与策略研究</w:t>
      </w:r>
    </w:p>
    <w:p w14:paraId="7922F624">
      <w:pPr>
        <w:rPr>
          <w:rFonts w:hint="eastAsia"/>
        </w:rPr>
      </w:pPr>
    </w:p>
    <w:p w14:paraId="793A9177">
      <w:pPr>
        <w:rPr>
          <w:rFonts w:hint="eastAsia"/>
        </w:rPr>
      </w:pPr>
    </w:p>
    <w:p w14:paraId="0588AA62">
      <w:pPr>
        <w:pStyle w:val="4"/>
        <w:bidi w:val="0"/>
      </w:pPr>
    </w:p>
    <w:p w14:paraId="6E76A96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Calibri" w:hAnsi="Calibri"/>
          <w:kern w:val="2"/>
          <w:sz w:val="21"/>
          <w:szCs w:val="22"/>
          <w:lang w:val="en-US" w:eastAsia="zh-CN" w:bidi="ar-SA"/>
        </w:rPr>
      </w:pPr>
    </w:p>
    <w:p w14:paraId="0DFFA299">
      <w:pPr>
        <w:widowControl/>
        <w:jc w:val="left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</w:p>
    <w:p w14:paraId="1EC5B449"/>
    <w:sectPr>
      <w:headerReference r:id="rId3" w:type="default"/>
      <w:footerReference r:id="rId4" w:type="default"/>
      <w:pgSz w:w="11906" w:h="16838"/>
      <w:pgMar w:top="1701" w:right="1474" w:bottom="1418" w:left="1588" w:header="851" w:footer="992" w:gutter="0"/>
      <w:pgNumType w:fmt="numberInDash" w:start="1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altName w:val="楷体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A3F2D5A">
    <w:pPr>
      <w:pStyle w:val="5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9DC8592">
    <w:pPr>
      <w:pStyle w:val="6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E496C1E"/>
    <w:rsid w:val="7E496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next w:val="1"/>
    <w:qFormat/>
    <w:uiPriority w:val="0"/>
    <w:pPr>
      <w:keepNext/>
      <w:keepLines/>
      <w:spacing w:beforeLines="0" w:beforeAutospacing="0" w:afterLines="0" w:afterAutospacing="0" w:line="560" w:lineRule="exact"/>
      <w:ind w:firstLine="894" w:firstLineChars="200"/>
      <w:outlineLvl w:val="0"/>
    </w:pPr>
    <w:rPr>
      <w:rFonts w:ascii="黑体" w:hAnsi="黑体" w:eastAsia="黑体" w:cs="黑体"/>
      <w:kern w:val="44"/>
      <w:sz w:val="32"/>
      <w:szCs w:val="32"/>
    </w:rPr>
  </w:style>
  <w:style w:type="paragraph" w:styleId="3">
    <w:name w:val="heading 2"/>
    <w:next w:val="1"/>
    <w:unhideWhenUsed/>
    <w:qFormat/>
    <w:uiPriority w:val="0"/>
    <w:pPr>
      <w:keepNext/>
      <w:keepLines/>
      <w:spacing w:beforeLines="0" w:beforeAutospacing="0" w:afterLines="0" w:afterAutospacing="0" w:line="560" w:lineRule="exact"/>
      <w:ind w:firstLine="894" w:firstLineChars="200"/>
      <w:outlineLvl w:val="1"/>
    </w:pPr>
    <w:rPr>
      <w:rFonts w:ascii="Times New Roman" w:hAnsi="Times New Roman" w:eastAsia="楷体_GB2312" w:cs="楷体_GB2312"/>
      <w:sz w:val="32"/>
      <w:szCs w:val="32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qFormat/>
    <w:uiPriority w:val="0"/>
    <w:pPr>
      <w:spacing w:line="560" w:lineRule="exact"/>
      <w:ind w:firstLine="630" w:firstLineChars="200"/>
      <w:jc w:val="both"/>
    </w:pPr>
    <w:rPr>
      <w:rFonts w:ascii="Times New Roman" w:hAnsi="Times New Roman" w:eastAsia="仿宋_GB2312" w:cs="仿宋_GB2312"/>
      <w:spacing w:val="-6"/>
      <w:sz w:val="32"/>
      <w:szCs w:val="32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Title"/>
    <w:qFormat/>
    <w:uiPriority w:val="0"/>
    <w:pPr>
      <w:spacing w:line="720" w:lineRule="exact"/>
      <w:jc w:val="center"/>
      <w:outlineLvl w:val="9"/>
    </w:pPr>
    <w:rPr>
      <w:rFonts w:ascii="方正小标宋简体" w:hAnsi="方正小标宋简体" w:eastAsia="方正小标宋简体" w:cs="方正小标宋简体"/>
      <w:sz w:val="44"/>
      <w:szCs w:val="44"/>
    </w:rPr>
  </w:style>
  <w:style w:type="paragraph" w:customStyle="1" w:styleId="10">
    <w:name w:val="附录标题"/>
    <w:next w:val="1"/>
    <w:qFormat/>
    <w:uiPriority w:val="0"/>
    <w:pPr>
      <w:overflowPunct w:val="0"/>
      <w:topLinePunct/>
      <w:spacing w:line="560" w:lineRule="exact"/>
      <w:jc w:val="left"/>
      <w:outlineLvl w:val="0"/>
    </w:pPr>
    <w:rPr>
      <w:rFonts w:ascii="黑体" w:hAnsi="黑体" w:eastAsia="黑体" w:cs="黑体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2026-04-22T01:49:00Z</dcterms:created>
  <dc:creator>侯畅</dc:creator>
  <cp:lastModifiedBy>侯畅</cp:lastModifiedBy>
  <dcterms:modified xsi:type="dcterms:W3CDTF">2026-04-22T01:49:14Z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2052-12.1.0.25222</vt:lpwstr>
  </property>
  <property fmtid="{D5CDD505-2E9C-101B-9397-08002B2CF9AE}" pid="3" name="ICV">
    <vt:lpwstr>23D1F235FCB44EFAB81BF8ED1B1CC47B_11</vt:lpwstr>
  </property>
  <property fmtid="{D5CDD505-2E9C-101B-9397-08002B2CF9AE}" pid="4" name="KSOTemplateDocerSaveRecord">
    <vt:lpwstr>eyJoZGlkIjoiZjc1YzI4NmUwMjgzMmMxMTgwZDk4MWVmOTYyMzIyY2MiLCJ1c2VySWQiOiIxNjkzMzY0NDI0In0=</vt:lpwstr>
  </property>
</Properties>
</file>