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120"/>
        <w:jc w:val="center"/>
      </w:pPr>
      <w:r>
        <w:rPr>
          <w:rFonts w:ascii="宋体" w:hAnsi="宋体" w:eastAsia="宋体"/>
          <w:b/>
          <w:color w:val="000000"/>
          <w:sz w:val="36"/>
        </w:rPr>
        <w:t>武汉城市学院本科专业设置一览表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1"/>
        <w:gridCol w:w="2161"/>
        <w:gridCol w:w="2161"/>
        <w:gridCol w:w="2161"/>
      </w:tblGrid>
      <w:tr>
        <w:tc>
          <w:tcPr>
            <w:tcW w:type="dxa" w:w="1020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3969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专业名称</w:t>
            </w:r>
          </w:p>
        </w:tc>
        <w:tc>
          <w:tcPr>
            <w:tcW w:type="dxa" w:w="1984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专业代码</w:t>
            </w:r>
          </w:p>
        </w:tc>
        <w:tc>
          <w:tcPr>
            <w:tcW w:type="dxa" w:w="1701"/>
            <w:shd w:fill="F2F2F2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学位授予门类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数字经济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020109T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经济学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国际经济与贸易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020401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经济学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英语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050201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文学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日语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050207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文学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商务英语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050262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文学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信息与计算科学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070102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应用化学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070302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机械设计制造及其自动化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080202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机械电子工程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080204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汽车服务工程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080208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智能车辆工程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080214T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电气工程及其自动化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080601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自动化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080801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机器人工程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080803T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计算机科学与技术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080901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软件工程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080902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土木工程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081001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给排水科学与工程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081003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智能建造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081008T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环境工程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082502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建筑学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082801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城乡规划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082802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药学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100701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药物制剂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100702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护理学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101101K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信息管理与信息系统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120102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工程管理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120103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工程造价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120105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29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大数据管理与应用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120108T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30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工商管理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120201K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31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市场营销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120202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会计学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120203K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财务管理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120204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34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人力资源管理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120206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35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物流管理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120601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36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电子商务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120801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37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动画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130310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艺术学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38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视觉传达设计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130502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艺术学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39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环境设计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130503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艺术学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40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产品设计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130504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艺术学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服装与服饰设计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130505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艺术学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酒店管理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120902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工程软件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081013T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44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健康服务与管理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120410T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管理学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45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能源与环境系统工程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080502T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  <w:tr>
        <w:tc>
          <w:tcPr>
            <w:tcW w:type="dxa" w:w="1020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46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智能科学与技术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080907T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1"/>
              </w:rPr>
              <w:t>工学</w:t>
            </w:r>
          </w:p>
        </w:tc>
      </w:tr>
    </w:tbl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