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120"/>
        <w:jc w:val="center"/>
      </w:pPr>
      <w:r>
        <w:rPr>
          <w:rFonts w:ascii="宋体" w:hAnsi="宋体" w:eastAsia="宋体"/>
          <w:b/>
          <w:color w:val="000000"/>
          <w:sz w:val="36"/>
        </w:rPr>
        <w:t>武汉城市学院2026年申请增设本科专业一览表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1020"/>
            <w:shd w:fill="F2F2F2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4535"/>
            <w:shd w:fill="F2F2F2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专业名称</w:t>
            </w:r>
          </w:p>
        </w:tc>
        <w:tc>
          <w:tcPr>
            <w:tcW w:type="dxa" w:w="2551"/>
            <w:shd w:fill="F2F2F2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专业代码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4535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储能科学与工程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080504T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4535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电子信息工程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080701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4535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数字媒体技术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080906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4535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新能源汽车工程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080216T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4535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智能飞行器技术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082010T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4535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老年医学与健康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101017TK</w:t>
            </w:r>
          </w:p>
        </w:tc>
      </w:tr>
    </w:tbl>
    <w:sectPr w:rsidR="00FC693F" w:rsidRPr="0006063C" w:rsidSect="00034616">
      <w:pgSz w:w="12240" w:h="15840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